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https://www.autoritedelaconcurrence.fr/fr/decision-de-controle-des-concentrations/relative-la-prise-de-controle-conjoint-de-la-societe-besson</w:t>
      </w:r>
    </w:p>
    <w:p>
      <w:r>
        <w:t>Pages translated : 2</w:t>
      </w:r>
    </w:p>
    <w:p/>
    <w:p>
      <w:r>
        <w:rPr>
          <w:b/>
        </w:rPr>
        <w:t>[Pages 1–2]</w:t>
      </w:r>
    </w:p>
    <w:p>
      <w:r>
        <w:t xml:space="preserve">FRENCH REPUBLIC  </w:t>
        <w:br/>
        <w:t xml:space="preserve">Decision No. 18-DCC-126 of July 30, 2018  </w:t>
        <w:br/>
        <w:t xml:space="preserve">regarding the joint control acquisition of the company Besson Chaussures  </w:t>
        <w:br/>
        <w:t xml:space="preserve">by the companies Weinberg Capital Partners and Groupe Philippe Ginestet  </w:t>
        <w:br/>
        <w:t xml:space="preserve">The Competition Authority,  </w:t>
        <w:br/>
        <w:t xml:space="preserve">Having regard to the complete notification file sent to the mergers department on July 12, 2018,  </w:t>
        <w:br/>
        <w:t xml:space="preserve">concerning the joint control acquisition of the company Besson Chaussures by the companies Weinberg Capital Partners and Groupe Philippe Ginestet, formalized by a firm offer dated May 26, 2018;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acquisition by the companies Weinberg Capital Partners and Groupe Philippe Ginestet of joint control of the company Besson Chaussures. It constitutes a concentration within the meaning of Article L. 430-1 of the Commercial Code. Given the turnover achieved by the concerned companies, the operation does not fall under the jurisdiction of the European Union. On the other hand, the control thresholds mentioned in II of Article L. 430-2 of the Commercial Code relating to retail trade are exceeded. This operation is therefore subject to the provisions of Articles L. 430-3 and following of the Commercial Code relating to economic concentration.  </w:t>
        <w:br/>
        <w:t xml:space="preserve">2. The markets concerned by the operation are the supply of shoes and accessories, as well as their retail distribution. These markets are consistently defined by the decision-making practice of the Competition Authority.  </w:t>
        <w:br/>
        <w:t xml:space="preserve">3. Regardless of the segmentations retained, the addition of the market shares of the parties does not exceed 2 points.  </w:t>
        <w:br/>
        <w:t>4. Considering the elements of the file and in particular point 398 of the guidelines of the Competition Authority relating to the control of concentrations, the operation is not likely to harm competition.</w:t>
      </w:r>
    </w:p>
    <w:p>
      <w:r>
        <w:t xml:space="preserve">DECIDES  </w:t>
        <w:br/>
        <w:t xml:space="preserve">Sole Article: The operation notified under number 18-128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