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https://www.autoritedelaconcurrence.fr/fr/decision-de-controle-des-concentrations/relative-la-prise-de-controle-conjoint-de-la-societe-bio</w:t>
      </w:r>
    </w:p>
    <w:p>
      <w:r>
        <w:t>Pages translated : 2</w:t>
      </w:r>
    </w:p>
    <w:p/>
    <w:p>
      <w:r>
        <w:rPr>
          <w:b/>
        </w:rPr>
        <w:t>[Pages 1–2]</w:t>
      </w:r>
    </w:p>
    <w:p>
      <w:r>
        <w:t xml:space="preserve">FRENCH REPUBLIC  </w:t>
        <w:br/>
        <w:t xml:space="preserve">Decision No. 17-DCC-185 of November 10, 2017  </w:t>
        <w:br/>
        <w:t xml:space="preserve">regarding the joint control acquisition of the company Bio Paris Ouest by  </w:t>
        <w:br/>
        <w:t xml:space="preserve">the companies Biogroup LCD and Vicabio  </w:t>
        <w:br/>
        <w:t xml:space="preserve">The Competition Authority,  </w:t>
        <w:br/>
        <w:t xml:space="preserve">Having regard to the complete notification file submitted to the mergers department on October 9, 2017,  </w:t>
        <w:br/>
        <w:t xml:space="preserve">concerning the joint control acquisition of the company Bio Paris Ouest by the companies Biogroup  </w:t>
        <w:br/>
        <w:t xml:space="preserve">LCD and Vicabio, formalized by a memorandum of understanding dated July 27, 2017;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joint control acquisition by the companies Biogroup LCD and  </w:t>
        <w:br/>
        <w:t xml:space="preserve">Vicabio of the company Bio Paris Ouest, which is active in the markets of medical biology.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medical biology analysis services and, upstream, the markets for the supply of equipment, reagents, and consumables for biology.  </w:t>
        <w:br/>
        <w:t xml:space="preserve">3. Regardless of the segmentations of these markets retained, the combined market shares of the parties are below 15%.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17-202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