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https://www.autoritedelaconcurrence.fr/fr/decision-de-controle-des-concentrations/relative-la-prise-de-controle-conjoint-de-la-societe-blouc</w:t>
      </w:r>
    </w:p>
    <w:p>
      <w:r>
        <w:t>Pages translated : 2</w:t>
      </w:r>
    </w:p>
    <w:p/>
    <w:p>
      <w:r>
        <w:rPr>
          <w:b/>
        </w:rPr>
        <w:t>[Pages 1–2]</w:t>
      </w:r>
    </w:p>
    <w:p>
      <w:r>
        <w:t>FRENCH REPUBLIC</w:t>
        <w:br/>
        <w:t>Decision No. 24-DCC-231 of November 4, 2024</w:t>
        <w:br/>
        <w:t>regarding the joint control acquisition of the company Blouc by the company</w:t>
        <w:br/>
        <w:t>Anjulius alongside the company ITM Entreprises</w:t>
        <w:br/>
        <w:t>The Competition Authority,</w:t>
        <w:br/>
        <w:t>Having regard to the complete notification file submitted to the mergers department on October 7, 2024,</w:t>
        <w:br/>
        <w:t>concerning the joint control acquisition of the company Blouc by the company Anjulius alongside the</w:t>
        <w:br/>
        <w:t>company ITM Entreprises, formalized by a letter of intent signed on June 21, 2024;</w:t>
        <w:br/>
        <w:t>Having regard to Book IV of the Commercial Code relating to the freedom of prices and competition, and</w:t>
        <w:br/>
        <w:t>notably its Articles L. 430-1 to L. 430-7;</w:t>
        <w:br/>
        <w:t>Adopts the following decision:</w:t>
        <w:br/>
        <w:t>1. The notified operation consists of the acquisition by the company Anjulius, of all the shares of</w:t>
        <w:br/>
        <w:t>the company Blouc, with ITM Entreprises retaining a preferred share in the capital of the latter. The company Blouc operates a business under the Intermarché brand, with a surface area of 4,211 m², in Delle (90). The operation constitutes a concentration within the meaning of Article L. 430-1 of the Commercial Code. Given the turnover achieved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24-253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