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https://www.autoritedelaconcurrence.fr/fr/decision-de-controle-des-concentrations/relative-la-prise-de-controle-conjoint-de-la-societe-bpd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18-DCC-177 of October 26, 2018  </w:t>
        <w:br/>
        <w:t xml:space="preserve">regarding the joint control acquisition of the company BPD Marignan by  </w:t>
        <w:br/>
        <w:t xml:space="preserve">the company Les Nouveaux Constructeurs SA and the company PWREF III  </w:t>
        <w:br/>
        <w:t xml:space="preserve">Holding SARL  </w:t>
        <w:br/>
        <w:t xml:space="preserve">The Competition Authority,  </w:t>
        <w:br/>
        <w:t xml:space="preserve">Having regard to the complete notification file submitted to the mergers department on October 5, 2018,  </w:t>
        <w:br/>
        <w:t xml:space="preserve">concerning the joint control acquisition of the company BPD Marignan SAS by the company Les Nouveaux  </w:t>
        <w:br/>
        <w:t xml:space="preserve">Constructeurs SA and the company PWREF III Holding SARL, formalized by an irrevocable purchase promise signed on August 1,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Les Nouveaux Constructeurs SA  </w:t>
        <w:br/>
        <w:t xml:space="preserve">and the company PWREF III Holding SARL of the company BPD Marignan SAS, which is primarily  </w:t>
        <w:br/>
        <w:t xml:space="preserve">active in the real estate development sector. It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mentioned in I of Article L. 430-2 of the Commercial Code are exceeded. This operation is therefore subject to the provisions of Articles L. 430-3 and  </w:t>
        <w:br/>
        <w:t xml:space="preserve">following of the Commercial Code relating to economic concentration. The operation has also  </w:t>
        <w:br/>
        <w:t xml:space="preserve">been notified in Germany.  </w:t>
        <w:br/>
        <w:t xml:space="preserve">2. The markets concerned by the operation are those of real estate services and, in particular, real estate development, which are consistently defined by the decision-making practice  </w:t>
        <w:br/>
        <w:t xml:space="preserve">of the Competition Authority.  </w:t>
        <w:br/>
        <w:t xml:space="preserve">3. Regardless of the segmentations retained, the combined market shares of the parties are  </w:t>
        <w:br/>
        <w:t xml:space="preserve">less than 25%.  </w:t>
        <w:br/>
        <w:t xml:space="preserve">4. Considering the elements of the file and in particular point 384 of the guidelines of  </w:t>
        <w:br/>
        <w:t xml:space="preserve">the Competition Authority relating to the control of concentrations, the operation is not of  </w:t>
        <w:br/>
        <w:t>a nature to harm competition.</w:t>
      </w:r>
    </w:p>
    <w:p>
      <w:r>
        <w:t xml:space="preserve">DECIDES  </w:t>
        <w:br/>
        <w:t xml:space="preserve">Sole Article: The operation notified under number 18-196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