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https://www.autoritedelaconcurrence.fr/fr/decision-de-controle-des-concentrations/relative-la-prise-de-controle-conjoint-de-la-societe-bridis</w:t>
      </w:r>
    </w:p>
    <w:p>
      <w:r>
        <w:t>Pages translated : 5</w:t>
      </w:r>
    </w:p>
    <w:p/>
    <w:p>
      <w:r>
        <w:rPr>
          <w:b/>
        </w:rPr>
        <w:t>[Pages 1–3]</w:t>
      </w:r>
    </w:p>
    <w:p>
      <w:r>
        <w:t xml:space="preserve">FRENCH REPUBLIC  </w:t>
        <w:br/>
        <w:t xml:space="preserve">Decision No. 10-DCC-44 of May 25, 2010  </w:t>
        <w:br/>
        <w:t xml:space="preserve">regarding the joint control of the company Bridis SAS  </w:t>
        <w:br/>
        <w:t>by the ITM Entreprises group and the company Jonaly SAS</w:t>
      </w:r>
    </w:p>
    <w:p>
      <w:r>
        <w:t xml:space="preserve">The Competition Authority,  </w:t>
        <w:br/>
        <w:t xml:space="preserve">Having regard to the notification file submitted in full to the concentrations service on April 21, 2010, regarding the joint control of the company Bridis SAS by the ITM Entreprises group and the company Jonaly SAS, formalized by a share transfer agreement signed on March 1, 2010;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 xml:space="preserve">1. The company ITM Entreprises, 100% controlled by the Société civile des Mousquetaires, itself held by 1,330 individuals known as "associated members," leads and animates the network of independent merchants known as the "Groupement des Mousquetaires." In its capacity as franchisor, ITM Entreprises' main activity is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membership and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  </w:t>
        <w:br/>
        <w:t xml:space="preserve">2. The company ITM Alimentaire Est is a general partnership held at [&gt;50]% by the Société ITM Alimentaire France and at [&lt;50]% by the company ITM Entreprises, the company ITM Alimentaire France being itself held by the company ITM Entreprises. The company ITM Entreprises has entrusted ITM Alimentaire Est with the animation, development, and defense of the integrity of a network of franchisees operating stores under the brands Intermarché, Ecomarché, and Netto, in the Eastern region of France.  </w:t>
        <w:br/>
        <w:t xml:space="preserve">3. The company SAS Bridis, whose capital is divided between the company ITM Alimentaire Est (93.19%), the company ITM Est F (6.8%), and the company ITM Entreprises (0.01%), operates a retail outlet under the Intermarché brand in the municipality of Brienne Le Château (department of Aube).  </w:t>
        <w:br/>
        <w:t xml:space="preserve">4. The ITM Entreprises group achieved, during the last fiscal year ending December 31, 2008, a total worldwide consolidated turnover excluding taxes of [20-30] billion euros, of which [15-25] billion was in France.  </w:t>
        <w:br/>
        <w:t xml:space="preserve">5. The company Jonaly, a simplified joint-stock company under French law, is engaged in the holding of shares in two companies operating retail outlets under the Intermarché brand. The capital of the company Jonaly is held 91% by Mr. and Mrs. X, the remainder being distributed between the company ITM Entreprises and a mutual fund of the Mousquetaires, without the latter two holding any preferred shares or special rights. The company Jonaly specifically holds shares in the company Edimer and the company Jeandeline, which operate a food store in Montier en Der and in Saint Dizier respectively (both located in the department of Haute Marne), it being specified that the business of the latter was purchased during the year 2009.  </w:t>
        <w:br/>
        <w:t xml:space="preserve">6. The total worldwide consolidated turnover excluding taxes achieved by the company Jonaly for the fiscal year ending December 31, 2008, and certified, amounted to 13.8 million euros. However, in accordance with the guidelines of the Competition Authority, "all turnover must be assessed as of the date of the last closed fiscal year and adjusted, if necessary, to take into account permanent changes in the economic reality of the company, following mergers or acquisitions that occurred subsequently." In this case, since the company Jonaly acquired the retail outlet of the company Jeandeline during the year 2009, it is necessary to take into account the turnover for the fiscal year ending December 31, 2009, but not yet certified. As of that date, the total turnover excluding taxes of the Jonaly group amounted to 30.9 million euros. It was achieved exclusively in France.  </w:t>
        <w:br/>
        <w:t xml:space="preserve">7. By a protocol agreement signed on March 1, 2010, the company Jonaly committed to acquiring almost all the shares of the company Bridis, excluding one share, that of the company ITM Entreprises, which will be converted into a preferred share. Specifically, this share will grant ITM Entreprises, for a period of fifteen years, the ability to block any change of brand, to oppose any transfer of shares, and to compel the majority shareholders to sell the business as soon as they operate a similar business under a competing brand. Beyond this fifteen-year period, a right of first refusal is provided for ITM Entreprises on any sale of shares for an additional five years. It follows from the above that ITM Entreprises will jointly exercise control of the company Bridis with the company Jonaly.  </w:t>
        <w:br/>
        <w:t>8. Insofar as it results in the transition from exclusive control of the company Bridis by the ITM Entreprises group to joint control with the company Jonaly, the notified operation constitutes a concentration within the meaning of Article L. 430-1 of the Commercial Code. Given the turnover of the concerned companies, it does not have a community dimension. On the other hand, the control thresholds mentioned in point II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 xml:space="preserve">9. The parties are simultaneously active in the food-dominated distribution sector.  </w:t>
        <w:br/>
        <w:t>10. According to the consistent practice of national and community competition authorities, two categories of markets can be defined in the food-dominated distribution sector. These are, on the one hand, the "downstream" markets, of local dimension, which involve retail businesses and consumers for the sale of consumer goods, and on the other hand, the "upstream" markets for the supply of retail businesses with everyday consumer goods, of national dimension.</w:t>
      </w:r>
    </w:p>
    <w:p>
      <w:r>
        <w:t xml:space="preserve">A. DOWNSTREAM MARKETS OF FOOD-DOMINATED DISTRIBUTION  </w:t>
        <w:br/>
        <w:t xml:space="preserve">1. SERVICE MARKETS  </w:t>
        <w:br/>
        <w:t xml:space="preserve">11.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commerce, (iv) small retail commerce, (v) large discounters, (vi) mail order sales.  </w:t>
        <w:br/>
        <w:t xml:space="preserve">12. Supermarkets are usually defined as food-dominated stores with a sales area of less than 2,500 m² and more than 400 m². However, it should be noted that these thresholds must be used with caution and may be adapted to the specific case, as stores whose area is near a threshold, either below or above, may find themselves in direct competition in practice.  </w:t>
        <w:br/>
        <w:t>13. In this case, the store of the company Bridis currently occupies a sales area of 1,600 m². This store therefore falls into the category of supermarkets.</w:t>
      </w:r>
    </w:p>
    <w:p>
      <w:r>
        <w:rPr>
          <w:b/>
        </w:rPr>
        <w:t>[Pages 4–5]</w:t>
      </w:r>
    </w:p>
    <w:p>
      <w:r>
        <w:t xml:space="preserve">2. GEOGRAPHICAL DELIMITATION  </w:t>
        <w:br/>
        <w:t xml:space="preserve">14. In its recent decisions related to operations concerning hypermarkets or supermarkets with a predominant food focus, the Competition Authority has reiterated that depending on the size of the stores involved, the conditions of competition should be assessed in two different zones:  </w:t>
        <w:br/>
        <w:t xml:space="preserve">- a first zone where consumer demand meets the supply of hypermarkets accessible within less than 30 minutes by car and which are, from their perspective, substitutable with each other;  </w:t>
        <w:br/>
        <w:t xml:space="preserve">- a second zone where consumer demand meets the supply of supermarkets and other equivalent forms of commerce located within less than 15 minutes by car. These latter forms of commerce may include, in addition to supermarkets, hypermarkets and discount stores.  </w:t>
        <w:br/>
        <w:t xml:space="preserve">15. Other criteria may nevertheless be taken into account to evaluate the impact of a concentration on the competitive situation in retail distribution markets, which may lead to refining, in the specific case, the usual delimitations presented above.  </w:t>
        <w:br/>
        <w:t xml:space="preserve">B. UPSTREAM SUPPLY MARKETS  </w:t>
        <w:br/>
        <w:t xml:space="preserve">16. Regarding supply markets, the European Commission has recognized the existence of markets of national dimension by major product groups, a delimitation followed by national authorities.  </w:t>
        <w:br/>
        <w:t xml:space="preserve">17. There is no reason to challenge this delimitation in the context of the present operation.  </w:t>
        <w:br/>
        <w:t xml:space="preserve">III. Competitive Analysis  </w:t>
        <w:br/>
        <w:t xml:space="preserve">18. Concerning the downstream market of food-dominated distribution constituted by the offer of hypermarkets, supermarkets, or large discount stores within a catchment area of 15 minutes around Brienne le Château, the supermarket involved in the operation is, in this area, the only store of this type operating under a brand belonging to the ITM Entreprises group. The operation therefore does not result in any overlap of activity in this market and is not likely to harm competition there.  </w:t>
        <w:br/>
        <w:t>19. In the upstream supply markets, the operation, limited to one store, is not likely to significantly strengthen the purchasing power, across all products as well as by major product groups, of the ITM Entreprises group or of the company Jonaly, the latter holding only two other food stores.</w:t>
      </w:r>
    </w:p>
    <w:p>
      <w:r>
        <w:t xml:space="preserve">DECIDES  </w:t>
        <w:br/>
        <w:t xml:space="preserve">Article unique: the operation notified under number 10-0046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