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https://www.autoritedelaconcurrence.fr/fr/decision-de-controle-des-concentrations/relative-la-prise-de-controle-conjoint-de-la-societe-bunka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26-DCC-07 of January 14, 2026  </w:t>
        <w:br/>
        <w:t xml:space="preserve">regarding the joint control acquisition of the company Bunka  </w:t>
        <w:br/>
        <w:t xml:space="preserve">by the companies Sedef and Miseli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19, 2025, concerning the joint control acquisition of the company Bunka by the companies  </w:t>
        <w:br/>
        <w:t xml:space="preserve">Sedef and Miseli, formalized by a letter of intent signed on December 15,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joint control, by the companies Sedef and  </w:t>
        <w:br/>
        <w:t xml:space="preserve">Miseli, of the company Bunka, which is engaged in the operation of a business fund of cultural  </w:t>
        <w:br/>
        <w:t xml:space="preserve">and leisure products, under the brand Fnac Proxi, in Le Cendre (63). This operation constitutes  </w:t>
        <w:br/>
        <w:t xml:space="preserve">a 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25-367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