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https://www.autoritedelaconcurrence.fr/fr/decision-de-controle-des-concentrations/relative-la-prise-de-controle-conjoint-de-la-societe-calao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24-DCC-207 of September 23, 2024</w:t>
        <w:br/>
        <w:t>regarding the joint control acquisition of the company Calao 86 by the</w:t>
        <w:br/>
        <w:t>company Jujefa alongside the company ITM Entreprises</w:t>
        <w:br/>
        <w:t>The Competition Authority,</w:t>
        <w:br/>
        <w:t>Having regard to the complete notification file submitted to the mergers department on September 4, 2024,</w:t>
        <w:br/>
        <w:t>concerning the joint control acquisition of the company Calao 86 by the company Jujefa alongside the</w:t>
        <w:br/>
        <w:t>company ITM Entreprises, formalized by a share acquisition promise signed on January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Jujefa of the entire capital of the</w:t>
        <w:br/>
        <w:t>company Calao 86, with ITM Entreprises retaining a preferred share. The company Calao 86</w:t>
        <w:br/>
        <w:t>operates a retail business primarily focused on food with a surface area of</w:t>
        <w:br/>
        <w:t>2,100 m², under the brand Intermarché (formerly Casino), located in Vif (38). The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However,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24-217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