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https://www.autoritedelaconcurrence.fr/fr/decision-de-controle-des-concentrations/relative-la-prise-de-controle-conjoint-de-la-societe-cargo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18-DCC-72 of April 30, 2018  </w:t>
        <w:br/>
        <w:t xml:space="preserve">regarding the joint control acquisition of the company Cargo SAS by the  </w:t>
        <w:br/>
        <w:t xml:space="preserve">Carrefour and Planes groups  </w:t>
        <w:br/>
        <w:t xml:space="preserve">The Competition Authority,  </w:t>
        <w:br/>
        <w:t xml:space="preserve">Having regard to the complete notification file sent to the mergers department on April 11, 2018,  </w:t>
        <w:br/>
        <w:t xml:space="preserve">concerning the joint control acquisition of the company Cargo SAS by the Carrefour and Planes  </w:t>
        <w:br/>
        <w:t xml:space="preserve">groups, and materialized by a share transfer agreement under suspensive condition dated April 6,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Carrefour and Planes groups  </w:t>
        <w:br/>
        <w:t xml:space="preserve">of the company Cargo SAS, which operates a food-dominant retail outlet of the hypermarket type  </w:t>
        <w:br/>
        <w:t xml:space="preserve">under the Carrefour Market brand, with an area of 3,500 m², located in Villeneuve-lès-Béziers (34). It constitutes a concentration operation within the meaning of Article L. 430-1 of the  </w:t>
        <w:br/>
        <w:t xml:space="preserve">Commercial Code. Given the revenues generated by the companies concerned, the operation does not fall  </w:t>
        <w:br/>
        <w:t xml:space="preserve">under the jurisdiction of the European Union.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18-072 is authorized.  </w:t>
        <w:br/>
        <w:t xml:space="preserve">The Chairwoman,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