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https://www.autoritedelaconcurrence.fr/fr/decision-de-controle-des-concentrations/relative-la-prise-de-controle-conjoint-de-la-societe-cedib</w:t>
      </w:r>
    </w:p>
    <w:p>
      <w:r>
        <w:t>Pages translated : 2</w:t>
      </w:r>
    </w:p>
    <w:p/>
    <w:p>
      <w:r>
        <w:rPr>
          <w:b/>
        </w:rPr>
        <w:t>[Pages 1–2]</w:t>
      </w:r>
    </w:p>
    <w:p>
      <w:r>
        <w:t xml:space="preserve">French Republic  </w:t>
        <w:br/>
        <w:t xml:space="preserve">Decision No. 13-DCC-189 of December 16, 2013  </w:t>
        <w:br/>
        <w:t xml:space="preserve">regarding the joint control acquisition of the company Cedib by the company  </w:t>
        <w:br/>
        <w:t>ITM Entreprises and the Vandenkoornhuyse group</w:t>
      </w:r>
    </w:p>
    <w:p>
      <w:r>
        <w:t>The Competition Authority,</w:t>
      </w:r>
    </w:p>
    <w:p>
      <w:r>
        <w:t>Having regard to the complete notification file submitted to the mergers department on November 25, 2013, concerning the joint control acquisition of the company Cedib by the company ITM Entreprises and the Vandenkoornhuyse group, formalized by a letter of commitment and a draft share transfer agreement dated November 20, 2013;</w:t>
      </w:r>
    </w:p>
    <w:p>
      <w:r>
        <w:t>Having regard to Book IV of the Commercial Code relating to the freedom of prices and competition, and in particular its Articles L. 430-1 to L. 430-7;</w:t>
      </w:r>
    </w:p>
    <w:p>
      <w:r>
        <w:t>Adopts the following decision:</w:t>
      </w:r>
    </w:p>
    <w:p>
      <w:r>
        <w:t>1. The notified operation consists of the joint control acquisition of the company Cedib, which operates a retail business predominantly in food under the Intermarché brand, with a surface area of 3,277 m² located in the city of Mainvilliers (28) by the Vandenkoornhuyse group and ITM Entreprises.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notified operation under number 13-224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