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https://www.autoritedelaconcurrence.fr/fr/decision-de-controle-des-concentrations/relative-la-prise-de-controle-conjoint-de-la-societe-cejean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22-DCC-236 of December 1, 2022  </w:t>
        <w:br/>
        <w:t xml:space="preserve">regarding the joint control acquisition of the company Cejean by the  </w:t>
        <w:br/>
        <w:t xml:space="preserve">companies Charlever and ITM Entreprises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14, 2022, concerning the joint control acquisition of the company Cejean by the companies  </w:t>
        <w:br/>
        <w:t xml:space="preserve">Charlever and ITM Entreprises, formalized by a letter of intent dated October 27,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acquisition, by the companies Charlever and ITM  </w:t>
        <w:br/>
        <w:t xml:space="preserve">Entreprises, of the company Cejean, which operates a business fund primarily focused on  </w:t>
        <w:br/>
        <w:t xml:space="preserve">food retail under the Intermarché brand with a surface area of 1,835 m², located in  </w:t>
        <w:br/>
        <w:t xml:space="preserve">Évrecy (14). It constitutes a concentration operation within the meaning of Article L. 430-1 of the Commercial  </w:t>
        <w:br/>
        <w:t xml:space="preserve">Code. Given the turnover generated by the companies involved, the operation does not fall under the  </w:t>
        <w:br/>
        <w:t xml:space="preserve">jurisdiction of the European Union. However, the retail control thresholds mentioned in II of Article L. 430-2 of the  </w:t>
        <w:br/>
        <w:t xml:space="preserve">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22-288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