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https://www.autoritedelaconcurrence.fr/fr/decision-de-controle-des-concentrations/relative-la-prise-de-controle-conjoint-de-la-societe-chanis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17-DCC-26 of February 15, 2017  </w:t>
        <w:br/>
        <w:t xml:space="preserve">regarding the joint control acquisition of the company Chanis by the  </w:t>
        <w:br/>
        <w:t xml:space="preserve">companies ITM Entreprises and Inige  </w:t>
        <w:br/>
        <w:t xml:space="preserve">The Competition Authority,  </w:t>
        <w:br/>
        <w:t xml:space="preserve">Having regard to the complete notification file submitted to the mergers department on January 26, 2017,  </w:t>
        <w:br/>
        <w:t xml:space="preserve">concerning the joint control acquisition of the company Chanis by the companies ITM Entreprises and  </w:t>
        <w:br/>
        <w:t xml:space="preserve">Inige, formalized by a share transfer agreement dated March 2, 2016, and a business transfer agreement dated January 25,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acquisition by the companies ITM Entreprises and Inige of  </w:t>
        <w:br/>
        <w:t xml:space="preserve">joint control of the company Chanis, which operates a predominantly food retail outlet under the Intermarché brand in the city of Les Mees (04). This operation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On the other hand, the control thresholds related to  </w:t>
        <w:br/>
        <w:t xml:space="preserve">retail trade mentioned in point II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17-014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