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https://www.autoritedelaconcurrence.fr/fr/decision-de-controle-des-concentrations/relative-la-prise-de-controle-conjoint-de-la-societe-chazem</w:t>
      </w:r>
    </w:p>
    <w:p>
      <w:r>
        <w:t>Pages translated : 2</w:t>
      </w:r>
    </w:p>
    <w:p/>
    <w:p>
      <w:r>
        <w:rPr>
          <w:b/>
        </w:rPr>
        <w:t>[Pages 1–2]</w:t>
      </w:r>
    </w:p>
    <w:p>
      <w:r>
        <w:t xml:space="preserve">FRENCH REPUBLIC  </w:t>
        <w:br/>
        <w:t xml:space="preserve">Decision No. 18-DCC-181 of October 31, 2018  </w:t>
        <w:br/>
        <w:t xml:space="preserve">regarding the joint control acquisition of the company Chazem by the  </w:t>
        <w:br/>
        <w:t xml:space="preserve">companies ITM Entreprises and Soubonco  </w:t>
        <w:br/>
        <w:t xml:space="preserve">The Competition Authority,  </w:t>
        <w:br/>
        <w:t xml:space="preserve">Having regard to the complete notification file submitted to the mergers department on October 3, 2018,  </w:t>
        <w:br/>
        <w:t xml:space="preserve">concerning the joint control acquisition of the company Chazem by the companies ITM Entreprises and  </w:t>
        <w:br/>
        <w:t xml:space="preserve">Soubonco, materialized by a share transfer agreement dated September 17,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ITM Entreprises  </w:t>
        <w:br/>
        <w:t xml:space="preserve">and Soubonco of the company Chazem, which operates a food-dominant retail outlet, with a surface area of 1,866 m², under the Intermarché brand, located in Chazelles-sur-Lyon (42). It constitutes a concentration operation within the meaning of Article L. 430-1 of the Commercial Code.  </w:t>
        <w:br/>
        <w:t xml:space="preserve">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18-230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