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https://www.autoritedelaconcurrence.fr/fr/decision-de-controle-des-concentrations/relative-la-prise-de-controle-conjoint-de-la-societe-civien</w:t>
      </w:r>
    </w:p>
    <w:p>
      <w:r>
        <w:t>Pages translated : 2</w:t>
      </w:r>
    </w:p>
    <w:p/>
    <w:p>
      <w:r>
        <w:rPr>
          <w:b/>
        </w:rPr>
        <w:t>[Pages 1–2]</w:t>
      </w:r>
    </w:p>
    <w:p>
      <w:r>
        <w:t xml:space="preserve">FRENCH REPUBLIC  </w:t>
        <w:br/>
        <w:t xml:space="preserve">Decision No. 26-DCC-84 of April 7, 2026  </w:t>
        <w:br/>
        <w:t xml:space="preserve">regarding the joint control acquisition of the company Civien by the  </w:t>
        <w:br/>
        <w:t xml:space="preserve">company Clinvest alongside the company ITM Entreprises  </w:t>
        <w:br/>
        <w:t xml:space="preserve">The Competition Authority,  </w:t>
        <w:br/>
        <w:t xml:space="preserve">Having regard to the complete notification file sent to the mergers department on March 20, 2026,  </w:t>
        <w:br/>
        <w:t xml:space="preserve">concerning the joint control acquisition of the company Civien by the company Clinvest alongside the  </w:t>
        <w:br/>
        <w:t xml:space="preserve">company ITM Entreprises, formalized by the letter of intent dated March 12, 2026;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Clinvest, of almost all the  </w:t>
        <w:br/>
        <w:t xml:space="preserve">shares of the company Civien, with ITM Entreprises retaining a preferred share in the latter. The company Civien operates a business under the Intermarché Contact brand with a sales area of 400 m² in Saint-Riquier (80). The operation constitutes a concentration operation within the meaning of Article L. 430-1 of the Commercial Code. Given the revenues generated by the companies concerned, the operation does not fall under the jurisdiction of the European Union. However, the retail trade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26-075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