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https://www.autoritedelaconcurrence.fr/fr/decision-de-controle-des-concentrations/relative-la-prise-de-controle-conjoint-de-la-societe-clem-e</w:t>
      </w:r>
    </w:p>
    <w:p>
      <w:r>
        <w:t>Pages translated : 2</w:t>
      </w:r>
    </w:p>
    <w:p/>
    <w:p>
      <w:r>
        <w:rPr>
          <w:b/>
        </w:rPr>
        <w:t>[Pages 1–2]</w:t>
      </w:r>
    </w:p>
    <w:p>
      <w:r>
        <w:t>FRENCH REPUBLIC</w:t>
        <w:br/>
        <w:t>Decision No. 20-DCC-152 of November 6, 2020</w:t>
        <w:br/>
        <w:t>regarding the joint control acquisition of the company Clem-e by the</w:t>
        <w:br/>
        <w:t>company Mirova and the CDC</w:t>
        <w:br/>
        <w:t>The Competition Authority,</w:t>
        <w:br/>
        <w:t>Having regard to the complete notification file submitted to the mergers department on October 7, 2020,</w:t>
        <w:br/>
        <w:t>concerning the joint control acquisition of the company Clem-e by the company Mirova and the CDC,</w:t>
        <w:br/>
        <w:t>materialized by a letter of commitment signed on June 26, 2020;</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company Mirova and the CDC</w:t>
        <w:br/>
        <w:t>of the company Clem-e, active in the car-sharing sector. It constitutes a concentration operation</w:t>
        <w:br/>
        <w:t>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20-174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