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https://www.autoritedelaconcurrence.fr/fr/decision-de-controle-des-concentrations/relative-la-prise-de-controle-conjoint-de-la-societe-cti</w:t>
      </w:r>
    </w:p>
    <w:p>
      <w:r>
        <w:t>Pages translated : 2</w:t>
      </w:r>
    </w:p>
    <w:p/>
    <w:p>
      <w:r>
        <w:rPr>
          <w:b/>
        </w:rPr>
        <w:t>[Pages 1–2]</w:t>
      </w:r>
    </w:p>
    <w:p>
      <w:r>
        <w:t xml:space="preserve">FRENCH REPUBLIC  </w:t>
        <w:br/>
        <w:t xml:space="preserve">Decision No. 11-DCC-125 of August 25, 2011  </w:t>
        <w:br/>
        <w:t xml:space="preserve">regarding the joint control acquisition of the company CTI Participations  </w:t>
        <w:br/>
        <w:t xml:space="preserve">by the company HIG European Capital Partners  </w:t>
        <w:br/>
        <w:t xml:space="preserve">The Competition Authority,  </w:t>
        <w:br/>
        <w:t xml:space="preserve">Having regard to the complete notification file submitted to the mergers department on August 8, 2011,  </w:t>
        <w:br/>
        <w:t xml:space="preserve">concerning the joint control acquisition of the company CTI Participations by the company HIG  </w:t>
        <w:br/>
        <w:t xml:space="preserve">European Capital Partners;  </w:t>
        <w:br/>
        <w:t xml:space="preserve">Having regard to Book IV of the Commercial Code relating to the freedom of prices and competition, and  </w:t>
        <w:br/>
        <w:t xml:space="preserve">in particular its Articles L. 430-1 to L. 430-7;  </w:t>
        <w:br/>
        <w:t xml:space="preserve">Adopts the following decision:  </w:t>
        <w:br/>
        <w:t xml:space="preserve">1. The company HIG European Capital Partners is an investment company, ultimately  </w:t>
        <w:br/>
        <w:t xml:space="preserve">controlled by two individuals of American nationality, whose main activity is dedicated to leveraged buyout or capital restructuring operations. The notified operation consists of the joint control acquisition by HIG European  </w:t>
        <w:br/>
        <w:t xml:space="preserve">Capital Partners of the company CTI Participations, the parent company of the CTI group. This group is  </w:t>
        <w:br/>
        <w:t xml:space="preserve">active in the industrial boiler-making sector, particularly in the nuclear and oil sectors. The operation constitutes a concentration operation within the meaning of Article L. 430-1 of the  </w:t>
        <w:br/>
        <w:t xml:space="preserve">Commercial Code. Given the revenues generated by the companies concerned,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11-0137 is authorized.  </w:t>
        <w:br/>
        <w:t xml:space="preserve">The Vice-President,  </w:t>
        <w:br/>
        <w:t xml:space="preserve">Élisabeth Flüry-Hérard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