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https://www.autoritedelaconcurrence.fr/fr/decision-de-controle-des-concentrations/relative-la-prise-de-controle-conjoint-de-la-societe-dalloz</w:t>
      </w:r>
    </w:p>
    <w:p>
      <w:r>
        <w:t>Pages translated : 5</w:t>
      </w:r>
    </w:p>
    <w:p/>
    <w:p>
      <w:r>
        <w:rPr>
          <w:b/>
        </w:rPr>
        <w:t>[Pages 1–3]</w:t>
      </w:r>
    </w:p>
    <w:p>
      <w:r>
        <w:t>FRENCH REPUBLIC</w:t>
        <w:br/>
        <w:t>Decision No. 14-DCC-54 of April 11, 2014</w:t>
        <w:br/>
        <w:t>regarding the joint control of Dalloz Pre-Setting by Van Cleef &amp; Arpels alongside the Dalloz Frères group</w:t>
        <w:br/>
        <w:t>The Competition Authority,</w:t>
        <w:br/>
        <w:t>Having regard to the notification file submitted in full to the merger service on March 10, 2014, regarding the joint control of Dalloz Pre-Setting by Van Cleef &amp; Arpels alongside the Dalloz Frères group, formalized by a letter of intent dated [confidential];</w:t>
        <w:br/>
        <w:t>Having regard to Book IV of the Commercial Code relating to the freedom of prices and competition, and in particular its Articles L. 430-1 to L. 430-7;</w:t>
        <w:br/>
        <w:t>Having regard to the supplementary elements provided by the parties during the investigation;</w:t>
        <w:br/>
        <w:t>Adopts the following decision:</w:t>
        <w:br/>
        <w:t>I. The concerned companies and the operation</w:t>
        <w:br/>
        <w:t>1. Van Cleef &amp; Arpels (hereinafter "VCA") is a company active in the creation and marketing of jewelry, high jewelry, and watchmaking products. It is owned at […] % by the Swiss company Richemont International SA, which is itself owned at […] % by the Rupert family through Compagnie Financière Rupert and Compagnie Financière Richemont SA. The remainder of the shares is listed on the SIX Swiss Exchange. The Richemont group is primarily active in the following sectors: (i) jewelry and high jewelry (via the brands Cartier, Piaget, and Van Cleef &amp; Arpels) which represent 27% of the group's turnover; (ii) watchmaking (via the brands Cartier, Jaeger-LeCoultre, Vacheron Constantin, and IWC Schaffhausen) which represents 43% of the group's turnover; (iii) ready-to-wear, accessories, and luxury leather goods (via Azzedine Alaïa, Chloé, Lancel, Alfred Dunhill, or Net à Porter) which represent 20% of the group's turnover; and (iv) writing instruments (via Montblanc) which represent 4% of the group's turnover. VCA has two manufacturing workshops for high jewelry products in France and the United States. The flagship products marketed by VCA are the Alhambra range jewelry, the manufacturing of which is concerned by the present operation. VCA also has 15 boutiques in Europe, including 5 in France.</w:t>
      </w:r>
    </w:p>
    <w:p>
      <w:r>
        <w:t>2. Dalloz Frères (hereinafter "Dalloz") is a family group, initially specialized in stone cutting and primarily active in the jewelry manufacturing sector through its subsidiaries [confidential]. The main clients of Dalloz Frères are large retailers, specialized chains, and retailers as well as VCA and Cartier for jewelry. Dalloz also engages in the cutting of synthetic stones and watch glasses for the watchmaking industries, known as "lapidary" activity. Dalloz is ultimately controlled by members of the Dalloz and Vernaton families.</w:t>
        <w:br/>
        <w:t>3. Dalloz Pre-Setting (hereinafter "DPS") is a 100% indirect subsidiary of Dalloz. Initially, DPS was notably engaged in the setting of hard stones. In 2007, DPS started, for the needs of VCA, an activity of manufacturing jewelry products and has since been producing entry-level jewelry for VCA from the Alhambra line. This activity has significantly developed over the years. Thus, in 2008, VCA represented […] % of DPS's turnover, reaching […] % in 2013.</w:t>
        <w:br/>
        <w:t>4. The operation, formalized by a letter of intent dated [confidential], consists of acquiring a stake of […] % of the Richemont group via VCA in the DPS company. In accordance with Article 14 of the bylaws, DPS will be managed and administered by a president appointed by the General Assembly by majority vote. Under the proposed shareholders' agreement, DPS will also be endowed with a supervisory board composed of [confidential]. Strategic decisions (approval of the budget, appointments to key positions, etc.) will be made with the prior agreement of the supervisory board, with the positive vote of the member appointed by VCA being required for the adoption of these decisions. The operation thus results in the joint control of DPS by the Richemont group alongside Dalloz, and constitutes a concentration within the meaning of Article L. 430-1 of the Commercial Code.</w:t>
        <w:br/>
        <w:t>5. The concerned companies together achieve a total worldwide turnover of over 150 million euros (Richemont: […] euros for the 2013 fiscal year; Dalloz Frères: […] euros for the 2012 fiscal year). At least two of these companies achieve a turnover in France exceeding 50 million euros (Richemont: […] euros for the 2013 fiscal year; Dalloz Frères: […] euros for the 2012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6. The parties are simultaneously active in the jewelry manufacturing markets. Richemont is also present through its 20 boutiques in the retail distribution market for jewelry.</w:t>
      </w:r>
    </w:p>
    <w:p>
      <w:r>
        <w:t>A. THE LAPIDARY MARKET</w:t>
        <w:br/>
        <w:t>7. The minister1 defined the lapidary market, which includes the activities of cutting glass and precious and synthetic stones, as a market situated upstream of the jewelry manufacturing markets.</w:t>
        <w:br/>
        <w:t>8. The parties consider that this market is of a global dimension, with transactions being globalized. In any case, for the purposes of the present operation, the exact delineation of the relevant market can be left open insofar as the conclusions of the competitive analysis will remain unchanged regardless of the delineation chosen.</w:t>
        <w:br/>
        <w:t>B. THE UPSTREAM MARKET OF JEWELRY MANUFACTURING</w:t>
        <w:br/>
        <w:t>9. Practice2 distinguishes three markets in the jewelry sector: i) the costume jewelry market, ii) the watchmaking, jewelry, and goldsmithing (HBJO) market, and iii) the high jewelry market. Within the HBJO market, decision-making practice has considered distinguishing the segment of jewelry in precious metals from that of non-precious jewelry and that of small-volume watchmaking.</w:t>
        <w:br/>
        <w:t>10. In this case, the activities of the parties overlap only in the segment of manufacturing jewelry in precious metals, as neither of them is active in the markets for manufacturing costume jewelry and non-precious jewelry, and only Richemont is active in the markets for high jewelry and watchmaking.</w:t>
        <w:br/>
        <w:t>11. Practice has considered a national delimitation of the market3. There is no need to resolve the issue in the context of the present operation, as the conclusions of the competitive analysis remain unchanged regardless of the delineation chosen. In this case, the analysis will be conducted at the national level, the most unfavorable hypothesis for the parties.</w:t>
        <w:br/>
        <w:t>C. THE RETAIL MARKETS FOR JEWELRY</w:t>
        <w:br/>
        <w:t>12. Regarding the retail distribution of watchmaking, jewelry, and goldsmithing products, decision-making practice4 has distinguished the markets (i) of small-volume watchmaking, (ii) of precious jewelry, and (iii) of non-precious jewelry, which are distinct from that of costume jewelry.</w:t>
        <w:br/>
        <w:t>13. Decision-making practice5 considers that the retail distribution markets for HBJO products are of a local dimension.</w:t>
        <w:br/>
        <w:t>1 Letter C 2006-33 of June 22, 2006</w:t>
        <w:br/>
        <w:t>2 Decision No. 10-DCC-140 of October 13, 2010, regarding the exclusive control of Histoire d’Or Europe SAS and Financière MO Holding SAS by Bridgepoint Capital Groupe Limited.</w:t>
        <w:br/>
        <w:t>3 Above-mentioned Decision No. 10-DCC-140</w:t>
        <w:br/>
        <w:t>4 See in particular the decision of the Competition Authority No. 10-DCC-140 mentioned above.</w:t>
        <w:br/>
        <w:t>5 Above-mentioned Decision No. 10-DCC-140</w:t>
      </w:r>
    </w:p>
    <w:p>
      <w:r>
        <w:rPr>
          <w:b/>
        </w:rPr>
        <w:t>[Pages 4–5]</w:t>
      </w:r>
    </w:p>
    <w:p>
      <w:r>
        <w:t xml:space="preserve">III. Competitive Analysis  </w:t>
        <w:br/>
        <w:t xml:space="preserve">A. HORIZONTAL EFFECTS  </w:t>
        <w:br/>
        <w:t xml:space="preserve">14. In the market for the manufacture of precious jewelry in which the parties are simultaneously active, the parties estimate that DPS's market share is marginal (less than [0-5]%). They estimate Dalloz's share at [5-10]% and the Richemont group's share at [10-20]%. The parties note that besides DPS's very low turnover ([...] euros), its activity will be exclusively dedicated to VCA from April 2014 and will no longer be, strictly speaking, active in the market6. It should also be noted that other operators are also present in this market, such as Christian Bernard, the GL group, as well as numerous manufacturing workshops.  </w:t>
        <w:br/>
        <w:t xml:space="preserve">15. It follows that the operation is not likely to harm competition through horizontal effects.  </w:t>
        <w:br/>
        <w:t xml:space="preserve">B. VERTICAL EFFECTS  </w:t>
        <w:br/>
        <w:t xml:space="preserve">16. Richemont is active, through its 20 boutiques, in the downstream market for the sale of precious jewelry. As a result, its position is quite marginal, just like that of DPS in the jewelry manufacturing market, as demonstrated above.  </w:t>
        <w:br/>
        <w:t xml:space="preserve">17. In the lapidary market situated upstream of the manufacturing market, the notifying party estimates that Dalloz's global market share does not exceed [0-5]%, with Richemont being present in this market in a marginal way. DPS, for its part, is not present in this market.  </w:t>
        <w:br/>
        <w:t xml:space="preserve">18. Given the respective positions of the parties in the various relevant markets, a locking scenario is unlikely. It follows that the operation is not likely to harm competition through vertical effects.  </w:t>
        <w:br/>
        <w:t xml:space="preserve">C. RISK OF COORDINATION BETWEEN PARENT COMPANIES  </w:t>
        <w:br/>
        <w:t xml:space="preserve">19. The parent companies and the target are simultaneously active in the market for the manufacture of precious jewelry. However, coordination between these two companies is unlikely given the asymmetric nature of Richemont and Dalloz in terms of activity, size, or geographical coverage. Indeed, Dalloz is a family business that manufactures and markets precious jewelry in the entry and mid-range primarily in France. Richemont, on the other hand, is a global group active in the broader field of luxury product retail. Furthermore, given the market shares of the parties, any potential coordination would not have a significant effect on the market.  </w:t>
        <w:br/>
        <w:t xml:space="preserve">20. It follows from these elements that the notified operation is not likely to facilitate coordination of competitive behavior between Richemont and Dalloz.  </w:t>
        <w:br/>
        <w:t>6 DPS's activity was already dedicated to [confidential] to the extent of […] %.</w:t>
      </w:r>
    </w:p>
    <w:p>
      <w:r>
        <w:t xml:space="preserve">DECIDES  </w:t>
        <w:br/>
        <w:t xml:space="preserve">Sole Article: The operation notified under number 13-227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