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https://www.autoritedelaconcurrence.fr/fr/decision-de-controle-des-concentrations/relative-la-prise-de-controle-conjoint-de-la-societe-db</w:t>
      </w:r>
    </w:p>
    <w:p>
      <w:r>
        <w:t>Pages translated : 6</w:t>
      </w:r>
    </w:p>
    <w:p/>
    <w:p>
      <w:r>
        <w:rPr>
          <w:b/>
        </w:rPr>
        <w:t>[Pages 1–3]</w:t>
      </w:r>
    </w:p>
    <w:p>
      <w:r>
        <w:t>FRENCH REPUBLIC</w:t>
        <w:br/>
        <w:t>Decision No. 17-DCC-82 of June 12, 2017</w:t>
        <w:br/>
        <w:t>regarding the joint control of the company DB Allinges by the company Emiro and Mr. Martellucci alongside ITM Entreprises</w:t>
        <w:br/>
        <w:t>The Competition Authority,</w:t>
        <w:br/>
        <w:t>Having regard to the notification file submitted in full to the merger service on May 3, 2017, concerning the joint control of the company DB Allinges by the company Emiro and Mr. Martellucci alongside ITM Entreprises, formalized by a protocol of agreement dated April 10, 2017;</w:t>
        <w:br/>
        <w:t>Having regard to Book IV of the Commercial Code relating to the freedom of prices and competition, and in particular its Articles L. 430-1 to L. 430-7;</w:t>
        <w:br/>
        <w:t>Adopts the following decision:</w:t>
        <w:br/>
        <w:t>I. The concerned companies and the operation</w:t>
        <w:br/>
        <w:t>1. ITM Entreprises, a company 100% controlled by the civil company of the Mousquetaires, itself held by […] natural persons known as "associated members," leads and animates the network of independent merchants known as the "Groupement des Mousquetaires." In its capacity as franchisor, ITM Entreprises has as its main activity the management of a network of sales outlets, both food and non-food, operated by independent merchants under the following brands: Intermarché, Écomarché, Netto, Restaumarché, Bricomarché, Roady, and Vêti. This management is carried out notably through the signing and monitoring of brand contracts with the companies operating these sales outlets. ITM Entreprises also provides its franchisees with various services for prospecting, consulting, training, etc. Finally, ITM Entreprises offers franchisees the opportunity to benefit from advantageous supply conditions from its national and regional subsidiaries, as well as from external suppliers referenced outside the "Groupement des Mousquetaires."</w:t>
        <w:br/>
        <w:t>2. The company Emiro is the holding company of the heirs Patrick and Elizabeth Martellucci. It holds the company Jean de Paris which operates a retail business with a food-dominant focus under the Intermarché brand located in the city of Ambérieu-en-Bugey (01). The company Emiro also holds minority stakes, which do not grant it any control within the meaning of competition law, in two companies operating retail businesses with a food-dominant focus under the Intermarché brand located in the cities of Nuits-Saint-Georges (21) and Combs-la-Ville (77).</w:t>
        <w:br/>
        <w:t>3. Mr. Arnaud Martellucci holds, through his holding company Comet, a minority stake in the operating company Aufre, which operates a retail business with a food-dominant focus under the Netto brand located in Ambérieu-en-Bugey (01). This minority stake does not grant him any control, within the meaning of competition law. Therefore, Mr. Arnaud Martellucci does not fall into the category of companies concerned by the present operation. Indeed, point 2° of I of Article L. 430-1 of the Commercial Code specifies in particular that a concentration operation is carried out "When one or more persons, already holding control of at least one company […]", so that acquisitions by natural persons can only constitute a concentration if these persons engage in economic activities for their own account or if they control at least one other company prior to the operation1.</w:t>
        <w:br/>
        <w:t>4. The company DB Allinges (hereinafter "the target company") operates a retail business with a food-dominant focus with a surface area of 1,818 m², under the Intermarché brand, located in the city of Allinges (74). The company DB Allinges is owned by Mr. Daniel Berdugo, with ITM holding a preferred share granting it the ability to block any change of brand, oppose any transfer of shares, and compel the majority shareholder to sell the business as soon as he operates a similar business under a competing brand2.</w:t>
        <w:br/>
        <w:t>5. Following a protocol of agreement dated April 10, 2017, the capital of the target company will be held [majority] by the company Emiro and [minority] by Mr. Arnaud Martellucci directly or indirectly via his holding, with ITM Entreprises retaining its preferred share in this company. As it results in joint control of the company DB Allinges by the company Emiro and Mr. Arnaud Martellucci, alongside ITM Entreprises, the notified operation constitutes a concentration within the meaning of Article L. 430-1 of the Commercial Code.</w:t>
        <w:br/>
        <w:t>6. The concerned companies together achieve a total worldwide turnover of more than 75 million euros (ITM Entreprises: […] euros for the fiscal year ending December 31, 2016; the company Emiro: […] euros for the same fiscal year and the target company: […] euros for the last fiscal year ending December 31, 2015). Each achieves in France in the retail sector a turnover exceeding 15 million euros (ITM Entreprises: […] euros for the fiscal year ending December 31, 2012; the company Emiro: […] euros for the same fiscal year and the target company: […] euros for the last fiscal year ending December 31, 2015). Given these turnover figures, the operation does not fall under the jurisdiction of the European Union. However, the control thresholds related to retail mentioned in point II of Article L. 430-2 of the Commercial Code are exceeded. The present operation is therefore subject to the provisions of Articles L. 430-3 and following of the Commercial Code relating to economic concentration.</w:t>
        <w:br/>
        <w:t>1 Point 24 of the guidelines of the Competition Authority relating to the control of concentrations.</w:t>
        <w:br/>
        <w:t>2 Articles 12 and 13 of the statutes of the company DB Allinges.</w:t>
      </w:r>
    </w:p>
    <w:p>
      <w:r>
        <w:t>II. Delimitation of Relevant Markets</w:t>
        <w:br/>
        <w:t>7. According to the consistent practice of national and European competition authorities3, two categories of markets can be delineated4 in the predominantly food distribution sector. These are, on the one hand, the "downstream" markets, of local dimension, which involve retail companies and consumers for the sale of consumer goods and, on the other hand, the "upstream" markets for the supply of retail companies with everyday consumer goods, of national dimension.</w:t>
        <w:br/>
        <w:t>A. DOWNSTREAM DISTRIBUTION MARKETS</w:t>
        <w:br/>
        <w:t>1. SERVICE MARKETS</w:t>
        <w:br/>
        <w:t>8. Regarding the retail sale of everyday consumer goods, competition authorities, both at the community and national level5, have distinguished six categories of commerce using several criteria, including the size of stores, their sales techniques, their accessibility, the nature of the service provided, and the range of products offered: (i) hypermarkets, (ii) supermarkets, (iii) specialized commerce, (iv) small retail businesses, (v) large discounters, (vi) mail order sales.</w:t>
        <w:br/>
        <w:t>9. Hypermarkets are usually defined as stores with a food-dominant focus with a sales area equal to or greater than 2,500 m², supermarkets as stores with a food-dominant focus with a sales area of less than 2,500 m² and greater than 400 m², and convenience stores as stores with a food-dominant focus with a sales area of less than 400 m² and greater than 120 m²6. However, it should be noted that these thresholds should be used with caution and may be adapted to the specific case, considering that stores whose area is close to a threshold, whether below or above, may be in direct competition in practice7.</w:t>
        <w:br/>
        <w:t>10. Competition authorities also consider that, while each category of store retains its specificity, there is asymmetric competition between certain of these categories. Indeed, a hypermarket may typically be used by some consumers as a convenience store, substituting for a supermarket. Conversely, the reverse is almost never verified and is even less so the larger the hypermarket in question. Therefore, if the target store is a hypermarket, the analysis is conducted on a market comprising only hypermarkets, on the one hand, and on a market comprising supermarkets and equivalent forms of commerce (hypermarkets, hard discount and</w:t>
        <w:br/>
        <w:t>3 Decisions of the European Commission M.946 Intermarché/Spar of June 30, 1997, M.991 Promodès/Casino of October 30, 1997, and M.1684 Carrefour/Promodès of January 25, 2000. See also the ministerial decree of July 5, 2000 in the Carrefour/Promodès operation and the opinions of the Competition Council No. 97-A-14 of July 1, 1997, in the Carrefour/Cora case, No. 98-A-06 of May 5, 1998, in the Casino Franprix/Leader Price case, and No. 00-A-06 of May 3, 2000, in the Carrefour/Promodès case.</w:t>
        <w:br/>
        <w:t>4 Decisions of the European Commission M.1221 Rewe/Meinl of February 3, 1999, M.1684 Carrefour/Promodès of January 25, 2000, and M.2115 Carrefour/GB of September 28, 2000. See also the decision C.2005-98 Carrefour/Penny Market of November 10, 2005.</w:t>
        <w:br/>
        <w:t>5 Decisions of the minister responsible for the economy C.2008-32 Amidis SAGC of July 9, 2008, C.2007-172 Carrefour Plane Plamidis, of February 13, 2008, C.2007-154 Système U Vergali of December 3, 2007, C.2007-05 Carrefour Sofodis of March 26, 2007, C.2006-15 Amidis Hamon of April 14, 2006, C 2005-98 Carrefour Penny Market of November 10, 2005.</w:t>
        <w:br/>
        <w:t>6 Decision of the Competition Authority No. 12-DCC-112 of August 3, 2012 regarding the exclusive control of the company SNC Schlecker by the company Système U Centrale Régionale Sud.</w:t>
        <w:br/>
        <w:t>7 Opinion No. 00-A-06 cited above.</w:t>
      </w:r>
    </w:p>
    <w:p>
      <w:r>
        <w:rPr>
          <w:b/>
        </w:rPr>
        <w:t>[Pages 4–6]</w:t>
      </w:r>
    </w:p>
    <w:p>
      <w:r>
        <w:t>popular stores) except for small retail businesses (less than 400 m²), on the other hand8. If the target store is a supermarket, the analysis is only conducted on the second type of market mentioned above.</w:t>
      </w:r>
    </w:p>
    <w:p>
      <w:r>
        <w:t>2. GEOGRAPHICAL DELIMITATION</w:t>
      </w:r>
    </w:p>
    <w:p>
      <w:r>
        <w:t>11. In its decisions regarding operations involving hypermarkets or supermarkets, the Authority has reiterated that two types of markets are usually distinguished, based on catchment areas9:</w:t>
      </w:r>
    </w:p>
    <w:p>
      <w:r>
        <w:t>- a first market where the demand of consumers from an area meets the supply of hypermarkets they can access within less than 30 minutes by car and which are, from their perspective, substitutable with each other;</w:t>
      </w:r>
    </w:p>
    <w:p>
      <w:r>
        <w:t>- a second market where the demand of consumers meets the supply of supermarkets and equivalent forms of commerce, located within 15 minutes of driving time from the target store. These latter forms of commerce may include, in addition to supermarkets, hypermarkets located near consumers and discount stores.</w:t>
      </w:r>
    </w:p>
    <w:p>
      <w:r>
        <w:t>12. Other criteria may nevertheless be taken into account to assess the impact of a concentration on the competitive situation in the retail distribution markets, which may lead to refining the usual delimitations presented above.</w:t>
      </w:r>
    </w:p>
    <w:p>
      <w:r>
        <w:t>13. In the case at hand, the target store has a sales area of 1,818 m²: it therefore falls into the category of supermarkets whose catchment area is defined by a radius of 15 minutes of driving time around the target store (the second market).</w:t>
      </w:r>
    </w:p>
    <w:p>
      <w:r>
        <w:t>14. However, the parties have indicated that an expansion of the point of sale, which aims to increase its sales area to 2,612 m², is planned: the point of sale is therefore likely to eventually fall into the category of hypermarkets for which both geographical markets are examined.</w:t>
      </w:r>
    </w:p>
    <w:p>
      <w:r>
        <w:t>15. The competitive analysis will therefore be conducted on (i) a market including supermarkets and equivalent forms of commerce located within a radius of 15 minutes around the target point of sale (with sales areas considered of 1,818 m² and 2,612 m²) and on (ii) a market including only hypermarkets within a 30-minute radius.</w:t>
      </w:r>
    </w:p>
    <w:p>
      <w:r>
        <w:t>8 Decisions of the Competition Authority No. 12-DCC-48 of April 6, 2012, regarding the exclusive control of the company Sofides by the company ITM Entreprises, No. 12-DCC-63 of May 9, 2012, regarding the exclusive control of the company Guyenne et Gascogne SA by the company Carrefour SA, and No. 13-DCC-90 of July 11, 2013, regarding the exclusive control of the company Monoprix by the company Casino Guichard-Perrachon.</w:t>
      </w:r>
    </w:p>
    <w:p>
      <w:r>
        <w:t>9 Decisions of the Competition Authority No. 09-DCC-24 of July 23, 2009 Floritine/C.S.F, No. 09-DCC-10 of May 28, 2009 Frandis/Financière Perdis, No. 09-DCC-06 of May 20, 2009 Evolis/ITM and No. 09-DCC-04 of April 29, 2009 Carrefour/Noukat.</w:t>
      </w:r>
    </w:p>
    <w:p>
      <w:r>
        <w:t>B. UPSTREAM SUPPLY MARKETS</w:t>
      </w:r>
    </w:p>
    <w:p>
      <w:r>
        <w:t>16. Regarding supply markets, the European Commission10 has recognized the existence of markets of national dimension by major product groups, a delimitation followed by national authorities11.</w:t>
      </w:r>
    </w:p>
    <w:p>
      <w:r>
        <w:t>17. There is no need to challenge this delimitation in the context of the present operation.</w:t>
      </w:r>
    </w:p>
    <w:p>
      <w:r>
        <w:t>III. Competitive Analysis</w:t>
      </w:r>
    </w:p>
    <w:p>
      <w:r>
        <w:t>18. In the downstream market of food distribution, including supermarkets and other equivalent forms of commerce, located within a 15-minute drive around Allinges, the target store is the only point of sale under the Intermarché brand in the area. The operation does not therefore alter the structure of the local market in this area.</w:t>
      </w:r>
    </w:p>
    <w:p>
      <w:r>
        <w:t>19. After expansion, in the market including hypermarkets within a catchment area of 30 minutes by car around Allinges, the store operated by DB Allinges will represent 12.4% of the sales areas. The total market share of the ITM group will rise to 31.5% of the sales areas in the area, with two hypermarkets. These stores will, however, face competition from two other hypermarkets under the Cora (34.6% of sales areas) and Carrefour (33.9%) brands.</w:t>
      </w:r>
    </w:p>
    <w:p>
      <w:r>
        <w:t>20. Regarding the upstream supply markets, the operation, which only concerns the change of control of one store, is not likely to significantly strengthen the purchasing power of the ITM Entreprises group, across all products as well as by major product groups.</w:t>
      </w:r>
    </w:p>
    <w:p>
      <w:r>
        <w:t>21. Consequently, the operation is not likely to harm competition in the markets concerned.</w:t>
      </w:r>
    </w:p>
    <w:p>
      <w:r>
        <w:t>10 See the decisions of the European Commission M.1684 Carrefour/Promodès of January 25, 2000 and M. 2115 Carrefour/GB of September 28, 2000.</w:t>
      </w:r>
    </w:p>
    <w:p>
      <w:r>
        <w:t>11 See the aforementioned decisions C2005-98, C2006-15, C2007-172 and C2008-32.</w:t>
      </w:r>
    </w:p>
    <w:p>
      <w:r>
        <w:t>DECIDES</w:t>
      </w:r>
    </w:p>
    <w:p>
      <w:r>
        <w:t>Sole Article: The operation notified under number 17-086 is authorized.</w:t>
      </w:r>
    </w:p>
    <w:p>
      <w: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