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https://www.autoritedelaconcurrence.fr/fr/decision-de-controle-des-concentrations/relative-la-prise-de-controle-conjoint-de-la-societe-demos</w:t>
      </w:r>
    </w:p>
    <w:p>
      <w:r>
        <w:t>Pages translated : 4</w:t>
      </w:r>
    </w:p>
    <w:p/>
    <w:p>
      <w:r>
        <w:rPr>
          <w:b/>
        </w:rPr>
        <w:t>[Pages 1–3]</w:t>
      </w:r>
    </w:p>
    <w:p>
      <w:r>
        <w:t>FRENCH REPUBLIC</w:t>
        <w:br/>
        <w:t>Decision No. 12-DCC-140 of September 25, 2012</w:t>
        <w:br/>
        <w:t>regarding the joint control of Demos SA by Montefiore Investment and the Wemaëre family</w:t>
        <w:br/>
        <w:t>The Competition Authority,</w:t>
        <w:br/>
        <w:t>Having regard to the notification file submitted in full to the concentrations service on August 22, 2012, regarding the joint control of Demos SA by Montefiore Investment and the Wemaëre family, formalized by an investment protocol dated July 27, 2012;</w:t>
        <w:br/>
        <w:t>Having regard to Book IV of the Commercial Code relating to price and competition freedom, and in particular its Articles L. 430-1 to L. 430-7;</w:t>
        <w:br/>
        <w:t>Having regard to the supplementary elements provided by the parties during the investigation;</w:t>
        <w:br/>
        <w:t>Adopts the following decision:</w:t>
        <w:br/>
        <w:t>I. The concerned companies and the operation</w:t>
        <w:br/>
        <w:t>1. Montefiore Investment (hereinafter "MI"), a simplified joint-stock company under French law, is a portfolio management company controlled by Mr. Eric Bismuth through the company Solorema1. Mr. Eric Bismuth does not hold any controlling interest in other companies. MI currently manages the risk capital mutual funds Montefiore Investment I (hereinafter "FCPR MI I") and Montefiore Investment II (hereinafter "FCPR MI II") which hold controlling interests in the capital of companies active in various sectors such as mobile home rental, distribution of board games and collectible cards, and vehicle rental brokerage. MI notably holds a controlling interest within the ISO group, specialized in higher education and professional training in the fields of optics and eyewear. None of the investors in the FCPR MI I and FCPR MI II funds are able to exert a decisive influence on the decisions made by the bodies of MI or the FCPR MI I and FCPR MI II funds.</w:t>
        <w:br/>
        <w:t>1 Mr. Eric Bismuth holds 99% of the capital and voting rights of the company Solorema.</w:t>
      </w:r>
    </w:p>
    <w:p>
      <w:r>
        <w:t>2. Demos SA is a public limited company whose shares are admitted to trading on the organized market of NYSE Alternext Paris SA. The Wemaëre family holds, directly and indirectly, via a family holding, 60.4% of the capital of Demos and 71.68% of the associated voting rights, allowing it to exercise exclusive control over the company; the remainder of the capital is distributed among the public, employees, and directors. Demos and its subsidiaries (hereinafter "Demos group") are active in the sector of continuing professional education in several European countries. The group offers training in numerous fields (management, marketing, finance, languages, IT, human resources, etc.) delivered remotely or in-person, designed "tailor-made" or offered from a catalog. The Demos group also engages, to a lesser extent, in consulting and outsourcing activities in professional training for companies. In addition to the interests held in the capital of the Demos group, the Wemaëre consorts hold [confidential].</w:t>
        <w:br/>
        <w:t>3. On July 27, 2012, FCPR MI II and the Wemaëre consorts signed an investment protocol to which a term sheet is attached, a document outlining the main terms of the shareholder agreement to be concluded between the parties to the protocol.</w:t>
        <w:br/>
        <w:t>4. The protocol provides, on the one hand, for the issuance of a bond loan of 3,200,000 convertible bonds which will be fully subscribed by FCPR MI II, and on the other hand, for a capital increase with a preferential subscription right for new shares in favor of the shareholders of the company. The Wemaëre consorts having previously transferred the exercise of their preferential subscription rights to FCPR MI II under Article 2.2 d) of the protocol, and FCPR MI II having committed to acquire these shares as well as all those that will not have been subscribed by the other shareholders of the company, it follows that MI, via FCPR MI II, will hold, after the operation, at least 13.8% of the capital and 9.2% of the voting rights of the company. The Wemaëre family will see its holding in the capital of the Demos group reduced to 46.6%, representing 60.5% of the voting rights.</w:t>
        <w:br/>
        <w:t>5. It follows from the summary document outlining the main stipulations of the future shareholder agreement, attached to the investment protocol, [confidential]. The main strategic decisions, notably the approval and revision of the annual budget and business plan, cannot be made without obtaining the majority of the members of the board of directors and the favorable vote of MI's representatives. [Confidential].</w:t>
        <w:br/>
        <w:t>6. In light of the above, MI will be able to exert decisive influence over the strategy of the Demos group jointly with the Wemaëre family. The notified operation thus results in the joint control of the Demos group by MI alongside the Wemaëre consorts and constitutes a concentration within the meaning of Article L. 430-1 of the Commercial Code.</w:t>
        <w:br/>
        <w:t>7. The concerned companies achieved a consolidated worldwide turnover excluding taxes of over 150 million euros in the last closed financial year (MI: […] euros for the financial year ending June 30, 2011; the entities controlled by the Wemaëre family achieved […] euros for the financial year ending December 31, 2011). Each of these companies achieved, in France, a turnover exceeding 50 million euros (MI achieved […] of its turnover in France as of June 30, 2011; the entities controlled by the Wemaëre family achieved a turnover of […] euros in France as of December 31, 2011).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II. Delimitation of Relevant Markets</w:t>
        <w:br/>
        <w:t>8. The activities of the parties overlap only in the sector of continuing professional education.</w:t>
        <w:br/>
        <w:t>A. SERVICE MARKETS</w:t>
        <w:br/>
        <w:t>9. Article L. 6111-1 of the Labor Code defines professional training: "Lifelong professional training constitutes a national obligation. It includes initial training, notably including apprenticeships, and subsequent training, which constitutes continuing professional education, intended for adults and young people already engaged in working life or who are entering it."</w:t>
        <w:br/>
        <w:t>10. Continuing professional education is aimed at employees or job seekers who, although being the final "consumers" of training, do not often express a direct demand and are rarely the direct purchasers of the training course. The demand more frequently comes from companies and public authorities, which are responsible for defining the profile of the beneficiary audiences2.</w:t>
        <w:br/>
        <w:t>11. European decision-making practice3 has distinguished in the market for IT training, the training followed by adults for professional purposes from that provided to younger audiences in an educational setting, invoking in particular the differences in age and expectations of trainees and the resulting differences in terms of presentation of teachings.</w:t>
        <w:br/>
        <w:t>12. National competition authorities4 have also considered distinguishing continuing professional education from initial or alternating training on the one hand, and delimiting each of these markets according to areas of intervention on the other hand, while leaving the precise delimitation of these markets open in the absence of competitive issues.</w:t>
        <w:br/>
        <w:t>13. In this case, it is not necessary to specify these market delimitations, as the competitive analysis remains unchanged regardless of the hypothesis retained.</w:t>
        <w:br/>
        <w:t>B. GEOGRAPHICAL MARKETS</w:t>
        <w:br/>
        <w:t>14. As the main operators of professional training are national, national decision-making practice has considered a national delimitation of the professional training market while leaving the question open5.</w:t>
        <w:br/>
        <w:t>2 See the decision of the Competition Authority No. 10-DCC-79 of July 22, 2010, regarding the exclusive control of the companies CFC and Forteam by Duke Street Holdings Ltd and the opinions of the Competition Council No. 00-A-31 of December 12, 2000, regarding a request for an opinion submitted by the Federation of Professional Training (FFP) and No. 08-A-10 of June 18, 2008, regarding a request for an opinion submitted by the Federation of Professional Training (FFP).</w:t>
        <w:br/>
        <w:t>3 See the decision of the European Commission IV/M.1072 - Bertelsmann / Burda / Futurekids.</w:t>
        <w:br/>
        <w:t>4 See letter C2008-107 from the Minister of Economy dated November 12, 2008, to the advisors of the company CDC Capital Investissement, regarding a concentration in the sector of technical construction controls and the aforementioned decision 10-DCC-79.</w:t>
        <w:br/>
        <w:t>5 See the aforementioned decisions C2008-107 and 10-DCC-79.</w:t>
      </w:r>
    </w:p>
    <w:p>
      <w:r>
        <w:rPr>
          <w:b/>
        </w:rPr>
        <w:t>[Pages 4–4]</w:t>
      </w:r>
    </w:p>
    <w:p>
      <w:r>
        <w:t>III. Competitive Analysis</w:t>
        <w:br/>
        <w:t>15. Both parties operate in the market for continuing professional education. In this market, at the national level, across all fields, the market share of the Demos group is estimated to be less than [0-5]% in value. It will be only very slightly strengthened by MI, which, through the activities of the ISO group, represents barely [0-5]% of market share in value.</w:t>
        <w:br/>
        <w:t>16. If we consider a segmentation by areas of intervention, the operation does not entail any overlaps, as the ISO group specializes in the optical and eyewear sector, a training sector from which the Demos group is absent.</w:t>
        <w:br/>
        <w:t>17. Given these elements, the operation is not likely to harm competition in the relevant markets.</w:t>
        <w:br/>
        <w:t>DECIDES</w:t>
        <w:br/>
        <w:t>Sole Article: The operation notified under number 12-136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