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https://www.autoritedelaconcurrence.fr/fr/decision-de-controle-des-concentrations/relative-la-prise-de-controle-conjoint-de-la-societe-diric</w:t>
      </w:r>
    </w:p>
    <w:p>
      <w:r>
        <w:t>Pages translated : 2</w:t>
      </w:r>
    </w:p>
    <w:p/>
    <w:p>
      <w:r>
        <w:rPr>
          <w:b/>
        </w:rPr>
        <w:t>[Pages 1–2]</w:t>
      </w:r>
    </w:p>
    <w:p>
      <w:r>
        <w:t xml:space="preserve">FRENCH REPUBLIC  </w:t>
        <w:br/>
        <w:t xml:space="preserve">Decision No. 17-DCC-201 of December 4, 2017  </w:t>
        <w:br/>
        <w:t xml:space="preserve">regarding the joint control acquisition of the company Diric by the Carrefour group and Mr. Ferme  </w:t>
        <w:br/>
        <w:t xml:space="preserve">The Competition Authority,  </w:t>
        <w:br/>
        <w:t xml:space="preserve">Having regard to the complete notification file sent to the mergers department on November 14, 2017, concerning the joint control acquisition of the company Diric by the Carrefour group and Mr. Ferme, formalized by a memorandum of understanding dated November 9,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Carrefour group and Mr. Ferme of joint control of the company Diric, which operates a food-dominant retail outlet with a surface area of 2,249 m² under the Carrefour Market brand, located in the city of La Vespière-Friardel (14).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17-253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