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https://www.autoritedelaconcurrence.fr/fr/decision-de-controle-des-concentrations/relative-la-prise-de-controle-conjoint-de-la-societe-dmo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24-DCC-178 of August 5, 2024  </w:t>
        <w:br/>
        <w:t xml:space="preserve">regarding the joint control of the company DMO Kerlouan by  </w:t>
        <w:br/>
        <w:t xml:space="preserve">the company Côte des Légendes alongside the Association of E. Leclerc Distributor Centers  </w:t>
        <w:br/>
        <w:t xml:space="preserve">The Competition Authority,  </w:t>
        <w:br/>
        <w:t xml:space="preserve">Having regard to the notification file submitted in full to the merger service on July 15, 2024,  </w:t>
        <w:br/>
        <w:t xml:space="preserve">regarding the joint control of the company DMO Kerlouan by the company Côte des  </w:t>
        <w:br/>
        <w:t xml:space="preserve">Légendes alongside the Association of E. Leclerc Distributor Centers, formalized by a  </w:t>
        <w:br/>
        <w:t xml:space="preserve">letter of intent signed on June 21,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supplementary elements transmitted by the notifying parties during the investigation;  </w:t>
        <w:br/>
        <w:t xml:space="preserve">Having regard to the other documents in the file;  </w:t>
        <w:br/>
        <w:t xml:space="preserve">Adopts the following decision:  </w:t>
        <w:br/>
        <w:t xml:space="preserve">1. The notified operation consists of the joint control, by the company Côte des Légendes  </w:t>
        <w:br/>
        <w:t xml:space="preserve">and the Association of E. Leclerc Distributor Centers, of the company DMO Kerlouan, which operates  </w:t>
        <w:br/>
        <w:t xml:space="preserve">a retail business predominantly focused on food products of the supermarket type, with an  </w:t>
        <w:br/>
        <w:t xml:space="preserve">area of 1,381 m², under the E. Leclerc brand and a service station located in Kerlouan (29).  </w:t>
        <w:br/>
        <w:t xml:space="preserve">Given the revenues generated by the companies concerned, the operation does not fall  </w:t>
        <w:br/>
        <w:t xml:space="preserve">under the jurisdiction of the European Union. On the other hand, the control thresholds mentioned  </w:t>
        <w:br/>
        <w:t xml:space="preserve">in II of Article L. 430-2 of the Commercial Code are exceeded. The present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The markets concerned by the operation are the upstream markets for the supply of  </w:t>
        <w:br/>
        <w:t xml:space="preserve">consumer goods and the downstream markets for the retail distribution of predominantly food products.  </w:t>
        <w:br/>
        <w:t xml:space="preserve">3. In the upstream markets for the supply of consumer goods, the operation  </w:t>
        <w:br/>
        <w:t xml:space="preserve">only concerns the change of brand of a business currently under the brand of the Casino group.  </w:t>
        <w:br/>
        <w:t xml:space="preserve">It is therefore not likely to significantly strengthen the purchasing power of the E. Leclerc movement.  </w:t>
        <w:br/>
        <w:t>Consequently, the operation is not likely to harm competition in the upstream supply markets.</w:t>
      </w:r>
    </w:p>
    <w:p>
      <w:r>
        <w:t xml:space="preserve">4. In the downstream markets for the retail distribution of predominantly food products, the target store  </w:t>
        <w:br/>
        <w:t xml:space="preserve">has a sales area of 1,381 m².1 Within the catchment area of this store  </w:t>
        <w:br/>
        <w:t xml:space="preserve">is an E. Leclerc hypermarket, also operated by the company Côte des Légendes,  </w:t>
        <w:br/>
        <w:t xml:space="preserve">with an area of 4,280 m². The combined market share of the E. Leclerc brand, expressed in  </w:t>
        <w:br/>
        <w:t xml:space="preserve">sales area, is estimated at [40-50]% (with an increment of [10-20] points).  </w:t>
        <w:br/>
        <w:t xml:space="preserve">5. When the market share of the new entity is between 25% and 50%, as is  </w:t>
        <w:br/>
        <w:t xml:space="preserve">the case in the present operation, the Authority conducts an analysis of the local competitive structure  </w:t>
        <w:br/>
        <w:t xml:space="preserve">to determine whether the competitors present in the area constitute credible and sufficient alternatives.  </w:t>
        <w:br/>
        <w:t xml:space="preserve">In previous decisions, the Authority has conducted this analysis based on filters allowing the exclusion  </w:t>
        <w:br/>
        <w:t xml:space="preserve">of competitive risks if at least three competing brands of national dimension are able to effectively  </w:t>
        <w:br/>
        <w:t xml:space="preserve">compete with the target store.  </w:t>
        <w:br/>
        <w:t xml:space="preserve">6. In this case, the new entity will primarily face competition from the brands  </w:t>
        <w:br/>
        <w:t xml:space="preserve">Intermarché (with a market share, expressed in sales area, of [20-30]%)2, LIDL ([5-10]%) and Super U ([0-5]%).  </w:t>
        <w:br/>
        <w:t xml:space="preserve">7. Thus, applying the filter set out in paragraph 5 above, the operation is not  </w:t>
        <w:br/>
        <w:t xml:space="preserve">likely to harm competition in the downstream markets for the retail distribution of predominantly food products.  </w:t>
        <w:br/>
        <w:t xml:space="preserve">8. Consequently, in light of the elements of the file, the operation is not likely to harm  </w:t>
        <w:br/>
        <w:t xml:space="preserve">competition in the concerned markets.  </w:t>
        <w:br/>
        <w:t xml:space="preserve">1 The company Côte des Légendes declared, during the investigation, that it would not extend the sales area of the target business  </w:t>
        <w:br/>
        <w:t xml:space="preserve">for a period of five years from the completion of the operation. The Authority will pay attention to the respect of this  </w:t>
        <w:br/>
        <w:t xml:space="preserve">declaration as any inaccurate declaration is likely to be sanctioned on the basis of III of Article L. 430.8 of the Commercial Code.  </w:t>
        <w:br/>
        <w:t xml:space="preserve">2 It should be noted that Intermarché has notified the merger service of its intention to take control (exclusive or joint)  </w:t>
        <w:br/>
        <w:t xml:space="preserve">of the Casino hypermarket in Lesneven (29), located in the catchment area of the target store. If this operation were to be authorized, the  </w:t>
        <w:br/>
        <w:t>market share of the Intermarché brand in the catchment area would be [40-50]%.</w:t>
      </w:r>
    </w:p>
    <w:p>
      <w:r>
        <w:t xml:space="preserve">DECIDES  </w:t>
        <w:br/>
        <w:t xml:space="preserve">Single Article: The operation notified under number 24-182 is authorized.  </w:t>
        <w:br/>
        <w:t xml:space="preserve">The Vice-President,  </w:t>
        <w:br/>
        <w:t xml:space="preserve">Thibaud Vergé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