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https://www.autoritedelaconcurrence.fr/fr/decision-de-controle-des-concentrations/relative-la-prise-de-controle-conjoint-de-la-societe-docy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24-DCC-35 of March 1, 2024</w:t>
        <w:br/>
        <w:t>regarding the joint control of the company Docy by the company</w:t>
        <w:br/>
        <w:t>Newstem and ITM Entreprises</w:t>
        <w:br/>
        <w:t>The Competition Authority,</w:t>
        <w:br/>
        <w:t>Having regard to the complete notification file submitted to the mergers department on February 14, 2024,</w:t>
        <w:br/>
        <w:t>concerning the joint control of the company Docy by the company Newstem and</w:t>
        <w:br/>
        <w:t>ITM Entreprises, formalized by a memorandum of understanding dated November 29,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by the company Newstem and</w:t>
        <w:br/>
        <w:t>ITM Entreprises of the company Docy, which operates a distribution business fund with a food-dominant hypermarket under the Intermarché brand with a surface area of</w:t>
        <w:br/>
        <w:t>3,000 m² located in Domancy (74). It constitutes a concentration operation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control thresholds related to retail trade mentioned in II of Article</w:t>
        <w:br/>
        <w:t>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24-043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