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https://www.autoritedelaconcurrence.fr/fr/decision-de-controle-des-concentrations/relative-la-prise-de-controle-conjoint-de-la-societe-dogala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12-DCC-117 of August 9, 2012  </w:t>
        <w:br/>
        <w:t xml:space="preserve">regarding the joint control acquisition of the company Dogala  </w:t>
        <w:br/>
        <w:t xml:space="preserve">by the Rocher parties and the company ITM Entreprises  </w:t>
        <w:br/>
        <w:t xml:space="preserve">The Competition Authority,  </w:t>
        <w:br/>
        <w:t xml:space="preserve">Having regard to the complete notification file sent to the mergers department on July 19, 2012,  </w:t>
        <w:br/>
        <w:t xml:space="preserve">concerning the joint control acquisition of the company Dogala by the Rocher parties and the company  </w:t>
        <w:br/>
        <w:t xml:space="preserve">ITM Entreprises, formalized by a draft statute dated July 2,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Dogala, which operates  </w:t>
        <w:br/>
        <w:t xml:space="preserve">a predominantly food distribution business under the Intermarché brand with a surface area of 2,151 m2 in Pont-du-Château (64), by the Rocher parties and the company ITM Entreprises and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12-121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