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https://www.autoritedelaconcurrence.fr/fr/decision-de-controle-des-concentrations/relative-la-prise-de-controle-conjoint-de-la-societe-dorine</w:t>
      </w:r>
    </w:p>
    <w:p>
      <w:r>
        <w:t>Pages translated : 2</w:t>
      </w:r>
    </w:p>
    <w:p/>
    <w:p>
      <w:r>
        <w:rPr>
          <w:b/>
        </w:rPr>
        <w:t>[Pages 1–2]</w:t>
      </w:r>
    </w:p>
    <w:p>
      <w:r>
        <w:t xml:space="preserve">FRENCH REPUBLIC  </w:t>
        <w:br/>
        <w:t xml:space="preserve">Decision No. 23-DCC-233 of November 21, 2023  </w:t>
        <w:br/>
        <w:t xml:space="preserve">regarding the joint control acquisition of the company Dorine by the  </w:t>
        <w:br/>
        <w:t xml:space="preserve">companies Maynouk and ITM Entreprises  </w:t>
        <w:br/>
        <w:t xml:space="preserve">The Competition Authority,  </w:t>
        <w:br/>
        <w:t xml:space="preserve">Having regard to the complete notification file submitted to the mergers department on November 3, 2023,  </w:t>
        <w:br/>
        <w:t xml:space="preserve">concerning the joint control acquisition of the company Dorine by the companies Maynouk and ITM  </w:t>
        <w:br/>
        <w:t xml:space="preserve">Entreprises, formalized by a letter of intent dated September 19,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Maynouk and  </w:t>
        <w:br/>
        <w:t xml:space="preserve">ITM Entreprises of the company Dorine, which operates a business fund of food-dominant distribution of the hypermarket type with a surface area of 2,552 m² located in Vulbens (74).  </w:t>
        <w:br/>
        <w:t xml:space="preserve">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23-284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