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https://www.autoritedelaconcurrence.fr/fr/decision-de-controle-des-concentrations/relative-la-prise-de-controle-conjoint-de-la-societe-du</w:t>
      </w:r>
    </w:p>
    <w:p>
      <w:r>
        <w:t>Pages translated : 2</w:t>
      </w:r>
    </w:p>
    <w:p/>
    <w:p>
      <w:r>
        <w:rPr>
          <w:b/>
        </w:rPr>
        <w:t>[Pages 1–2]</w:t>
      </w:r>
    </w:p>
    <w:p>
      <w:r>
        <w:t xml:space="preserve">FRENCH REPUBLIC  </w:t>
        <w:br/>
        <w:t xml:space="preserve">Decision No. 20-DCC-91 of July 27, 2020  </w:t>
        <w:br/>
        <w:t xml:space="preserve">regarding the joint control acquisition of the company Du Buisson by the  </w:t>
        <w:br/>
        <w:t xml:space="preserve">companies Malino and ITM Entreprises  </w:t>
        <w:br/>
        <w:t xml:space="preserve">The Competition Authority,  </w:t>
        <w:br/>
        <w:t xml:space="preserve">Having regard to the complete notification file submitted to the mergers department on June 23, 2020,  </w:t>
        <w:br/>
        <w:t xml:space="preserve">concerning the acquisition of control of the company Du Buisson by the companies Malino and ITM Entreprises,  </w:t>
        <w:br/>
        <w:t xml:space="preserve">formalized by a letter of intent dated May 20, 2020;  </w:t>
        <w:br/>
        <w:t xml:space="preserve">Having regard to Book IV of the Commercial Code relating to the freedom of prices and competition, and  </w:t>
        <w:br/>
        <w:t xml:space="preserve">notably its Articles L. 430-1 to L. 430-7;  </w:t>
        <w:br/>
        <w:t xml:space="preserve">Having regard to the elements provided by the notifying party during the investigation:  </w:t>
        <w:br/>
        <w:t xml:space="preserve">Adopts the following decision:  </w:t>
        <w:br/>
        <w:t xml:space="preserve">1. The notified operation consists of the joint control acquisition by the companies Malino and  </w:t>
        <w:br/>
        <w:t xml:space="preserve">ITM Entreprises of the company Du Buisson, which operates a retail business primarily focused on food of a surface area of 2,367 m² in Rosières-en-Santerre (80). It constitutes a concentration operation within the meaning of Article L. 430-1 of the Commercial Code.  </w:t>
        <w:br/>
        <w:t xml:space="preserve">Given the turnover achieved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20-105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