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https://www.autoritedelaconcurrence.fr/fr/decision-de-controle-des-concentrations/relative-la-prise-de-controle-conjoint-de-la-societe-duc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12-DCC-118 of August 9, 2012  </w:t>
        <w:br/>
        <w:t xml:space="preserve">regarding the joint control acquisition of the company Duc Distribution  </w:t>
        <w:br/>
        <w:t xml:space="preserve">by the Cloarec parties and the company ITM Entreprises  </w:t>
        <w:br/>
        <w:t xml:space="preserve">The Competition Authority,  </w:t>
        <w:br/>
        <w:t xml:space="preserve">Having regard to the complete notification file sent to the mergers department on July 18, 2012,  </w:t>
        <w:br/>
        <w:t xml:space="preserve">concerning the joint control acquisition of the company Duc Distribution by the company ITM  </w:t>
        <w:br/>
        <w:t xml:space="preserve">Entreprises and the Cloarec parties materialized by a letter of intent under suspensive conditions dated July 16,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Duc Distribution,  </w:t>
        <w:br/>
        <w:t xml:space="preserve">which operates a retail business predominantly in food under the Intermarché brand with a surface area of 3,000 m2 in Séné (56), by the company ITM Entreprises and the Cloarec parties and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12-119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