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https://www.autoritedelaconcurrence.fr/fr/decision-de-controle-des-concentrations/relative-la-prise-de-controle-conjoint-de-la-societe-emc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26-DCC-16 of January 20, 2026</w:t>
        <w:br/>
        <w:t>regarding the joint control acquisition</w:t>
        <w:br/>
        <w:t>of EMC National Life Company by the companies</w:t>
        <w:br/>
        <w:t>Oaktree Capital Management and Lane42 Investment Partners</w:t>
        <w:br/>
        <w:t>The Competition Authority,</w:t>
        <w:br/>
        <w:t>Having regard to the complete notification file submitted to the mergers department on</w:t>
        <w:br/>
        <w:t>December 24, 2025, concerning the joint control acquisition of EMC National Life</w:t>
        <w:br/>
        <w:t>Company by the companies Oaktree Capital Management and Lane42 Investment Partners,</w:t>
        <w:br/>
        <w:t>through the intermediary of Hawk Acquisition, formalized by a share purchase agreement dated</w:t>
        <w:br/>
        <w:t>[confidential];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joint control acquisition of EMC National Life</w:t>
        <w:br/>
        <w:t>Company by the companies Oaktree Capital Management and Lane42 Investment Partners.</w:t>
        <w:br/>
        <w:t>Following the operation, Oaktree Capital Management and Lane42 Investment Partners</w:t>
        <w:br/>
        <w:t>will hold, respectively, through the intermediary of Hawk Acquisition, 50% of the capital</w:t>
        <w:br/>
        <w:t>of EMC National Life Company. The relevant sector is that of the distribution of individual and collective</w:t>
        <w:br/>
        <w:t>life insurance products. The operation constitutes a concentration within the meaning of</w:t>
        <w:br/>
        <w:t>Article L. 430-1 of the Commercial Code. Given the turnover achieved by the</w:t>
        <w:br/>
        <w:t>concerned companies, the operation does not fall under the jurisdiction of the European Union. However, the control thresholds mentioned in I of Article L. 430-2 of the Commercial Code are exceeded. This operation is therefore subject to the provisions of Articles L. 430-3 and</w:t>
        <w:br/>
        <w:t>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25-370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