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https://www.autoritedelaconcurrence.fr/fr/decision-de-controle-des-concentrations/relative-la-prise-de-controle-conjoint-de-la-societe-eradis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23-DCC-179 of August 24, 2023  </w:t>
        <w:br/>
        <w:t xml:space="preserve">regarding the joint control acquisition of the company Eradis by the  </w:t>
        <w:br/>
        <w:t xml:space="preserve">Société Ouennaise de Distribution and the Association des Centres  </w:t>
        <w:br/>
        <w:t xml:space="preserve">Distributeurs E. Leclerc  </w:t>
        <w:br/>
        <w:t xml:space="preserve">The Competition Authority,  </w:t>
        <w:br/>
        <w:t xml:space="preserve">Having regard to the notification file sent to the mergers department on July 26, 2023, declared  </w:t>
        <w:br/>
        <w:t xml:space="preserve">complete on August 21, 2023, concerning the joint control acquisition of the company Eradis by the Société  </w:t>
        <w:br/>
        <w:t xml:space="preserve">Ouennaise de Distribution and the Association des Centres Distributeurs E. Leclerc, formalized by  </w:t>
        <w:br/>
        <w:t xml:space="preserve">a share transfer agreement dated July 10,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notifying parties during the investigation;  </w:t>
        <w:br/>
        <w:t xml:space="preserve">Adopts the following decision:  </w:t>
        <w:br/>
        <w:t xml:space="preserve">1. The notified operation consists of the joint control acquisition of the company Eradis, operating a  </w:t>
        <w:br/>
        <w:t xml:space="preserve">commercial establishment primarily focused on food of the supermarket type with an area of 1,500 m²  </w:t>
        <w:br/>
        <w:t xml:space="preserve">under the Super U brand located in Éragny (95), by the Société Ouennaise de Distribution and  </w:t>
        <w:br/>
        <w:t xml:space="preserve">the Association des Centres Distributeurs E. Leclerc. It constitutes a concentration operation within the meaning of Article L. 430-1 of the Commercial Code. Given the turnover achieved by the concerned companies, the operation does not fall under the jurisdiction of  </w:t>
        <w:br/>
        <w:t xml:space="preserve">the European Union. On the other hand, the control thresholds related to retail trade mentioned in II of Article L. 430-2 of the Commercial Code are exceeded. This operation is therefore subject to the provisions of Articles L. 430-3 and following of the Commercial Code relating  </w:t>
        <w:br/>
        <w:t xml:space="preserve">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23-212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