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https://www.autoritedelaconcurrence.fr/fr/decision-de-controle-des-concentrations/relative-la-prise-de-controle-conjoint-de-la-societe-eren</w:t>
      </w:r>
    </w:p>
    <w:p>
      <w:r>
        <w:t>Pages translated : 2</w:t>
      </w:r>
    </w:p>
    <w:p/>
    <w:p>
      <w:r>
        <w:rPr>
          <w:b/>
        </w:rPr>
        <w:t>[Pages 1–2]</w:t>
      </w:r>
    </w:p>
    <w:p>
      <w:r>
        <w:t>FRENCH REPUBLIC</w:t>
        <w:br/>
        <w:t>Decision No. 17-DCC-196 of November 23, 2017</w:t>
        <w:br/>
        <w:t>regarding the joint control of the company Eren Renewable Energy by Total and Eren Group</w:t>
        <w:br/>
        <w:t>The Competition Authority,</w:t>
        <w:br/>
        <w:t>Having regard to the complete notification file sent to the mergers department on October 25, 2017, concerning the joint control of the company Eren Renewable Energy by Total and Eren Group, formalized by an investment protocol concluded for the acquisition of Eren Renewable Energy dated September 14, 2017;</w:t>
        <w:br/>
        <w:t>Having regard to Book IV of the Commercial Code relating to the freedom of prices and competition, and in particular its Articles L. 430-1 to L. 430-7;</w:t>
        <w:br/>
        <w:t>Having regard to the additional elements provided by the parties during the investigation;</w:t>
        <w:br/>
        <w:t>Adopts the following decision:</w:t>
        <w:br/>
        <w:t>1. The notified operation consists of the joint control of the company Eren Renewable Energy by Total and Eren Group. It constitutes a concentration operation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w:t>
        <w:br/>
        <w:t>2. The markets concerned by the operation are consistently defined by decision-making practice. The parties are simultaneously active in the market for the production and wholesale sale of electricity, as well as in the markets for the development, construction, and management of wind farms and photovoltaic power plants. Total is also active in the markets for the production of terrestrial photovoltaic cells and modules, as well as in the retail electricity supply market.</w:t>
        <w:br/>
        <w:t>3. Regardless of the segmentations retained, the combined market shares of the parties are below [0-5] %.</w:t>
        <w:br/>
        <w:t>4. Considering the elements of the file and in particular point 384 of the guidelines of the Competition Authority relating to the control of concentrations, the operation is not likely to harm competition.</w:t>
      </w:r>
    </w:p>
    <w:p>
      <w:r>
        <w:t>DECIDES</w:t>
        <w:br/>
        <w:t>Sole Article: The operation notified under number 17-203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