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https://www.autoritedelaconcurrence.fr/fr/decision-de-controle-des-concentrations/relative-la-prise-de-controle-conjoint-de-la-societe-esli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21-DCC-13 of January 20, 2021  </w:t>
        <w:br/>
        <w:t xml:space="preserve">regarding the joint control acquisition of the company Esli by the companies  </w:t>
        <w:br/>
        <w:t xml:space="preserve">Junesgo and ITM Entreprises  </w:t>
        <w:br/>
        <w:t>The Competition Authority,</w:t>
      </w:r>
    </w:p>
    <w:p>
      <w:r>
        <w:t xml:space="preserve">Having regard to the complete notification file sent to the mergers department on December 31,  </w:t>
        <w:br/>
        <w:t xml:space="preserve">2020, concerning the joint control acquisition by the companies Junesgo and ITM Entreprises of the  </w:t>
        <w:br/>
        <w:t>company Esli, formalized by a letter of intent dated December 30, 2020;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joint control acquisition by the companies Junesgo and ITM  </w:t>
        <w:br/>
        <w:t xml:space="preserve">Entreprises of the company Esli, which operates a food-dominant business fund under the brand "Intermarché" with a surface area of 1,562 m² located in Salles d’Aude (11). It  </w:t>
        <w:br/>
        <w:t xml:space="preserve">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related to  </w:t>
        <w:br/>
        <w:t xml:space="preserve">retail trade mentioned in point II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20-273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