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https://www.autoritedelaconcurrence.fr/fr/decision-de-controle-des-concentrations/relative-la-prise-de-controle-conjoint-de-la-societe-europa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24-DCC-43 of March 18, 2024</w:t>
        <w:br/>
        <w:t>regarding the joint control acquisition of the company Europa Group by</w:t>
        <w:br/>
        <w:t>the companies Abénex Capital and Noga</w:t>
        <w:br/>
        <w:t>The Competition Authority,</w:t>
        <w:br/>
        <w:t>Having regard to the complete notification file sent to the mergers department on February 23, 2024</w:t>
        <w:br/>
        <w:t>regarding the joint control acquisition by the companies Abénex Capital and Noga, via the company</w:t>
        <w:br/>
        <w:t>Newco, of the company Europa Group, formalized by a letter of intent signed on December 22,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parties during the investigation;</w:t>
        <w:br/>
        <w:t>Adopts the following decision:</w:t>
        <w:br/>
        <w:t>1. The notified operation consists of the joint control acquisition by the companies Abénex Capital and</w:t>
        <w:br/>
        <w:t>Noga, of the company Europa Group, active in the sector of organizing conferences and other</w:t>
        <w:br/>
        <w:t>events. It constitutes a concentration operation within the meaning of Article L. 430-1 of the Commercial Code. Given the turnover achieved by the concerned companies,</w:t>
        <w:br/>
        <w:t>the operation does not fall under the jurisdiction of the European Union. However, the relevant control thresholds mentioned in I of Article L. 430-2 of the Commercial Code are exceeded. The</w:t>
        <w:br/>
        <w:t>present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24-021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