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https://www.autoritedelaconcurrence.fr/fr/decision-de-controle-des-concentrations/relative-la-prise-de-controle-conjoint-de-la-societe-fajar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18-DCC-223 of December 21, 2018  </w:t>
        <w:br/>
        <w:t xml:space="preserve">regarding the joint control acquisition of the company Fajar by the  </w:t>
        <w:br/>
        <w:t xml:space="preserve">companies ITM Entreprises and Titrilio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28, 2018, concerning the joint control acquisition of the company Fajar by the companies  </w:t>
        <w:br/>
        <w:t xml:space="preserve">ITM Entreprises and Titrilio, and formalized by a decision of the extraordinary general meeting  </w:t>
        <w:br/>
        <w:t xml:space="preserve">of the company Fajar on November 5, 2018, aimed at issuing a preferred share  </w:t>
        <w:br/>
        <w:t xml:space="preserve">in favor of the company ITM Entreprises by adopting new statutes;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ITM Entreprises  </w:t>
        <w:br/>
        <w:t xml:space="preserve">and Titrilio of the company Fajar, which operates a predominantly food retail outlet of  </w:t>
        <w:br/>
        <w:t xml:space="preserve">supermarket type with an area of 2,299 m², under the Intermarché brand, located in Yerres (91).  </w:t>
        <w:br/>
        <w:t xml:space="preserve">It constitutes a concentration operation within the meaning of Article L. 430-1 of the Commercial Code.  </w:t>
        <w:br/>
        <w:t xml:space="preserve">Given the turnover achieved by the concerned companies, the operation does not fall under the jurisdiction of the European Union.  </w:t>
        <w:br/>
        <w:t xml:space="preserve">On the other hand, the control thresholds related to retail trade mentioned in point II of Article L. 430-2 of the Commercial Code are exceeded.  </w:t>
        <w:br/>
        <w:t xml:space="preserve">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18-282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