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https://www.autoritedelaconcurrence.fr/fr/decision-de-controle-des-concentrations/relative-la-prise-de-controle-conjoint-de-la-societe-falme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19-DCC-139 of July 12, 2019</w:t>
        <w:br/>
        <w:t>regarding the joint control acquisition of the company Falme by the</w:t>
        <w:br/>
        <w:t>company Jenco and the Carrefour group</w:t>
        <w:br/>
        <w:t>The Competition Authority,</w:t>
        <w:br/>
        <w:t>Having regard to the complete notification file submitted to the mergers department on June 7, 2019, concerning</w:t>
        <w:br/>
        <w:t>the joint control acquisition by the company Jenco and the Carrefour group of the company Falme,</w:t>
        <w:br/>
        <w:t>and formalized by a memorandum of understanding signed on June 6, 2019;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transition from joint control by the Carrefour group and the</w:t>
        <w:br/>
        <w:t>company Exito to joint control by the company Jenco and the Carrefour group of the company</w:t>
        <w:br/>
        <w:t>Falme, which operates a food-dominant retail outlet of the hypermarket type under the Carrefour Market brand with a surface area of 2,510 m² located in Ferrieres (17). It constitutes</w:t>
        <w:br/>
        <w:t>a concentration operation within the meaning of Article L. 430-1 of the Commercial Code. Given</w:t>
        <w:br/>
        <w:t>the turnover achieved by the concerned companies, the operation does not fall under the</w:t>
        <w:br/>
        <w:t>jurisdiction of the European Union. On the other hand, the retail control thresholds mentioned in point II of Article L. 430-2 of the Commercial Code are exceeded. The</w:t>
        <w:br/>
        <w:t>present operation is therefore subject to the provisions 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19-148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