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https://www.autoritedelaconcurrence.fr/fr/decision-de-controle-des-concentrations/relative-la-prise-de-controle-conjoint-de-la-societe-faure</w:t>
      </w:r>
    </w:p>
    <w:p>
      <w:r>
        <w:t>Pages translated : 5</w:t>
      </w:r>
    </w:p>
    <w:p/>
    <w:p>
      <w:r>
        <w:rPr>
          <w:b/>
        </w:rPr>
        <w:t>[Pages 1–3]</w:t>
      </w:r>
    </w:p>
    <w:p>
      <w:r>
        <w:t xml:space="preserve">FRENCH REPUBLIC  </w:t>
        <w:br/>
        <w:t xml:space="preserve">Decision No. 15-DCC-51 of May 4, 2015  </w:t>
        <w:br/>
        <w:t xml:space="preserve">regarding the joint control of the company Faure Distribution  </w:t>
        <w:br/>
        <w:t>by the Plane and Carrefour groups</w:t>
      </w:r>
    </w:p>
    <w:p>
      <w:r>
        <w:t xml:space="preserve">The Competition Authority,  </w:t>
        <w:br/>
        <w:t xml:space="preserve">Having regard to the notification file submitted in full to the merger service on April 7, 2015,  </w:t>
        <w:br/>
        <w:t xml:space="preserve">regarding the joint control of the company Faure Distribution by the Plane and Carrefour groups, formalized by a memorandum of understanding dated March 16,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Amidis et Cie is a subsidiary of the Carrefour group (hereinafter collectively referred to as "Carrefour"), a French group active in the retail sector with a food focus as well as in wholesale distribution with a food focus in France and worldwide. In France, Carrefour operates 4,714 stores1 (hypermarkets, supermarkets, convenience stores, cash and carry), under the brands Carrefour, Carrefour Market, Carrefour City, Carrefour Contact, Carrefour Express, Carrefour Montagne, Huit à 8, Marché Plus, Proxi, Promocash. The Carrefour group also has a drive activity and various online shopping sites, one for food (Ooshop) and the other for non-food (On Line Carrefour). Carrefour also enters into contracts with companies operating retail stores with a food focus, allowing these companies to operate their points of sale under one of the Carrefour group’s brands, to source from its purchasing centers, to benefit from purchasing conditions negotiated by Carrefour with suppliers referenced by the group, and to benefit from the services offered by Carrefour.  </w:t>
        <w:br/>
        <w:t>1 Including 388 hypermarkets, 1,314 supermarkets, and 3,012 convenience stores.</w:t>
      </w:r>
    </w:p>
    <w:p>
      <w:r>
        <w:t xml:space="preserve">2. The Plane family holds 50% of the capital of the company Plamidis, over which it exercises joint control alongside the company Amidis2. Plamidis operates through its subsidiaries commercial establishments with a food focus under the Carrefour Market brand in Laroque des Albères (66), Saint Paul de Fenouillet (66), Lézignan Corbières (11), Marseillan (34), and Banyuls sur Mer (66).  </w:t>
        <w:br/>
        <w:t xml:space="preserve">3. Faure Distribution is a French law company that operates a commercial establishment with a food focus under the Carrefour Market brand, with an area of 1,800 m² and located in the city of Saint-Juéry (81). The capital of the company Faure Distribution is currently entirely held by the Faure family.  </w:t>
        <w:br/>
        <w:t xml:space="preserve">4. The notified operation, formalized by a memorandum of understanding dated March 16, 2015, consists of the acquisition by the company Plamidis, jointly controlled by the Plane family and the Carrefour group, of the entirety of the capital of the company Faure Distribution.  </w:t>
        <w:br/>
        <w:t xml:space="preserve">5. Insofar as it results in the joint control of the company Faure Distribution by the Plane family and the Carrefour group, the operation constitutes a concentration within the meaning of Article L. 430-1 of the Commercial Code.  </w:t>
        <w:br/>
        <w:t>6. The concerned companies operate several retail stores and together achieve a total worldwide turnover of more than 75 million euros (Carrefour: 74 billion euros for the fiscal year ending December 31, 2013; the Plane family: 53.4 million euros as of January 31, 2014; Faure Distribution: 14.4 million euros as of September 30, 2014). The concerned companies achieve in France in the retail sector a turnover exceeding 15 million euros (Carrefour: 35 billion euros for the fiscal year ending December 31, 2013; the Plane family: 53.4 million euros as of January 31, 2014; Faure Distribution: 14.4 million euros as of September 30, 2014). Given these turnover figures, the operation does not fall under the jurisdiction of the European Union. However, the control thresholds applicable to retail mentioned in point II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7. The markets concerned by the operation fall within the sector of food distribution.  </w:t>
        <w:br/>
        <w:t>8. According to the decision-making practice of national3 and European4 competition authorities, two categories of markets can be delineated in the food distribution sector: on the one hand, the "downstream" markets, of a local dimension, which bring together retail businesses and consumers for the sale of consumer goods, and on the other hand, the "upstream" markets for the supply of retail businesses with everyday consumer goods, of a national dimension.</w:t>
      </w:r>
    </w:p>
    <w:p>
      <w:r>
        <w:t xml:space="preserve">A. DOWNSTREAM DISTRIBUTION MARKETS  </w:t>
        <w:br/>
        <w:t xml:space="preserve">1. SERVICE MARKETS  </w:t>
        <w:br/>
        <w:t xml:space="preserve">9. Regarding the retail sale of everyday consumer goods, decision-making practice5 has distinguished six categories of businesses using several criteria, notably the size of the stores, their sales techniques, their accessibility, the nature of the service provided, and the range of products offered: (i) hypermarkets (stores predominantly selling food with a legal sales area exceeding 2,500 m²), (ii) supermarkets (between 400 and 2,500 m²), (iii) specialized trade, (iv) small retail businesses (less than 400 m²), (v) maxi-discount stores, (vi) mail order sales.  </w:t>
        <w:br/>
        <w:t xml:space="preserve">10. Within small retail businesses6, small self-service stores that offer a narrow assortment of everyday products (an area of less than 120 m²) and convenience stores whose product offering is somewhat broader (an area between 120 and 400 m²) are distinguished.  </w:t>
        <w:br/>
        <w:t>11. In this case, the company Faure Distribution operates a commercial establishment with a food focus with an area of 1,800 m². It therefore falls into the category of supermarkets.</w:t>
      </w:r>
    </w:p>
    <w:p>
      <w:r>
        <w:t xml:space="preserve">2. GEOGRAPHICAL DELIMITATION  </w:t>
        <w:br/>
        <w:t xml:space="preserve">12. In its recent decisions7 regarding operations involving hypermarkets or supermarkets, the Competition Authority has recalled that depending on the size of the stores concerned, the conditions of competition should be assessed in two different areas:  </w:t>
        <w:br/>
        <w:t xml:space="preserve">- a first market where the demand from consumers in an area meets the supply of hypermarkets to which they have access within less than 30 minutes of travel by car and which are, from their point of view, substitutable for each other;  </w:t>
        <w:br/>
        <w:t xml:space="preserve">- a second market where the demand from consumers meets the supply of supermarkets and equivalent forms of commerce located within less than 15 minutes of travel time by car. These latter forms of commerce may include, in addition to supermarkets, hypermarkets located near consumers and discount stores.  </w:t>
        <w:br/>
        <w:t xml:space="preserve">5 See, for example, the decision of the Competition Authority No. 12-DCC-63 of May 9, 2012, regarding the exclusive control of the company Guyenne et Gascogne SA by the company Carrefour SA, decision No. 13-DCC-90 of July 11, 2013, regarding the exclusive control of the company Monoprix by the company Casino Guichard-Perrachon, and the aforementioned decision No. 14-DCC-173.  </w:t>
        <w:br/>
        <w:t xml:space="preserve">6 See the opinion of the Competition Council No. 97-A-04 of January 21, 1997, regarding various issues concerning the concentration of distribution and the decision of the Competition Authority No. 10-D-08 of March 3, 2010, regarding practices implemented by Carrefour in the sector of general proximity food trade.  </w:t>
        <w:br/>
        <w:t>7 See in particular the decision of the Competition Authority No. 11-DCC-04 of January 28, 2011, regarding the exclusive control of the company Mafical by the company ITM Alimentaire Région parisienne, decision No. 11-DCC-45 of March 18, 2011, regarding the exclusive control of the commercial establishment of the hypermarket Cora Desmarais by the company Sodex Desmarais, decision No. 12-DCC-63, and the aforementioned decision No. 14-DCC-173.</w:t>
      </w:r>
    </w:p>
    <w:p>
      <w:r>
        <w:rPr>
          <w:b/>
        </w:rPr>
        <w:t>[Pages 4–5]</w:t>
      </w:r>
    </w:p>
    <w:p>
      <w:r>
        <w:t>13. Other criteria may nevertheless be taken into account to assess the impact of a concentration on the competitive situation in retail distribution markets, which may lead to refining, in the specific case, the usual delineations presented above.</w:t>
      </w:r>
    </w:p>
    <w:p>
      <w:r>
        <w:t>14. In this case, the store concerned falls into the category of supermarkets, and the competitive analysis will be conducted on the market comprising supermarkets and equivalent forms of commerce (hypermarkets, hard discount stores, and popular stores), excluding small retail businesses (less than 400 m²), located within a 15-minute radius around the target store in Saint-Juéry (81).</w:t>
      </w:r>
    </w:p>
    <w:p>
      <w:r>
        <w:t>B. UPSTREAM SUPPLY MARKETS</w:t>
      </w:r>
    </w:p>
    <w:p>
      <w:r>
        <w:t>15. Regarding the upstream supply markets, the European Commission has recognized the existence of nationally sized markets by major product groups, a delineation followed by national authorities.</w:t>
      </w:r>
    </w:p>
    <w:p>
      <w:r>
        <w:t>16. There is no reason to challenge this delineation in the context of the present operation.</w:t>
      </w:r>
    </w:p>
    <w:p>
      <w:r>
        <w:t>III. Competitive Analysis</w:t>
      </w:r>
    </w:p>
    <w:p>
      <w:r>
        <w:t>A. DOWNSTREAM MARKETS FOR FOOD DISTRIBUTION</w:t>
      </w:r>
    </w:p>
    <w:p>
      <w:r>
        <w:t>17. In the market comprising all supermarkets and equivalent forms of commerce located within a 15-minute drive around the sales point in Saint-Juéry (81), the target store represents 5.5% of the sales area. The total market share of Carrefour following the operation will rise to 18.9%, with the group holding a Dia store with an area of 977 m² and a Carrefour Market of 2,895 m² in this area. Carrefour's competitors in this area are the Casino group (37.5% market share) and the Leclerc group (30% market share).</w:t>
      </w:r>
    </w:p>
    <w:p>
      <w:r>
        <w:t>18. The operation is therefore not likely to harm competition in the downstream distribution markets.</w:t>
      </w:r>
    </w:p>
    <w:p>
      <w:r>
        <w:t>B. UPSTREAM SUPPLY MARKETS</w:t>
      </w:r>
    </w:p>
    <w:p>
      <w:r>
        <w:t>19. Regarding the upstream supply markets, it should be noted that the operation is limited to a store that represents only a marginal part of the revenue generated by the Carrefour group in France. The acquisition of joint control of Faure Distribution is therefore not likely to significantly strengthen the purchasing power of the Carrefour group, across all products as well as by major product groups.</w:t>
      </w:r>
    </w:p>
    <w:p>
      <w:r>
        <w:t>20. The operation is therefore not likely to harm competition in the upstream supply markets.</w:t>
      </w:r>
    </w:p>
    <w:p>
      <w:r>
        <w:t>DECIDES</w:t>
      </w:r>
    </w:p>
    <w:p>
      <w:r>
        <w:t>Single Article: The operation notified under number 15-048 is authorized.</w:t>
      </w:r>
    </w:p>
    <w:p>
      <w:r>
        <w:t>The Vice-President,</w:t>
        <w:br/>
        <w:t>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