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https://www.autoritedelaconcurrence.fr/fr/decision-de-controle-des-concentrations/relative-la-prise-de-controle-conjoint-de-la-societe-fragui</w:t>
      </w:r>
    </w:p>
    <w:p>
      <w:r>
        <w:t>Pages translated : 5</w:t>
      </w:r>
    </w:p>
    <w:p/>
    <w:p>
      <w:r>
        <w:rPr>
          <w:b/>
        </w:rPr>
        <w:t>[Pages 1–3]</w:t>
      </w:r>
    </w:p>
    <w:p>
      <w:r>
        <w:t xml:space="preserve">FRENCH REPUBLIC  </w:t>
        <w:br/>
        <w:t xml:space="preserve">Decision No. 10-DCC-28 of March 26, 2010  </w:t>
        <w:br/>
        <w:t xml:space="preserve">regarding the joint control of the company Fragui by the  </w:t>
        <w:br/>
        <w:t>companies Gamax and ITM Entreprises</w:t>
      </w:r>
    </w:p>
    <w:p>
      <w:r>
        <w:t xml:space="preserve">The Competition Authority,  </w:t>
        <w:br/>
        <w:t xml:space="preserve">Having regard to the notification file sent to the concentrations service on February 26, 2010, declared complete on March 12, 2010, concerning the acquisition of the company Fragui by the companies Gamax and ITM Entreprises, formalized by a memorandum of understanding signed on September 29, 2009;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The company ITM Entreprises, 100% controlled by the Société civile des Mousquetaires, itself held by 1,330 individuals known as "associated members," leads and animates the network of independent merchants known as the "Groupement des Mousquetaires." As a franchisor, ITM Entreprises' main activity is the animation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possibility of benefiting from advantageous supply conditions from its national and regional subsidiaries as well as from external suppliers referenced outside the "Groupement des Mousquetaires."</w:t>
      </w:r>
    </w:p>
    <w:p>
      <w:r>
        <w:t>2. The company ITM Alimentaire Centre Est is a French law company held at [&gt;50%] by the Société ITM Alimentaire France, itself held by the company ITM Entreprises, and at [&lt;50%] by the company ITM Entreprises. The company ITM Entreprises has entrusted ITM Alimentaire Centre Est with the animation and development of the franchise network operating the food brands Intermarché, Ecomarché, and Netto in the Centre-East region of France. The company ITM Alimentaire Centre Est also has the mission of defending the integrity of the network by purchasing on a temporary basis the sales outlets whose owners wish to divest. It ensures the operation of the sales outlets during the temporary holding phase, pending the selection of a new member.</w:t>
      </w:r>
    </w:p>
    <w:p>
      <w:r>
        <w:t>3. The ITM Entreprises group achieved, during the last fiscal year ending on December 31, 2008, a total turnover excluding taxes of [20-30] billion euros, of which [15-25] billion euros were in France.</w:t>
      </w:r>
    </w:p>
    <w:p>
      <w:r>
        <w:t>4. The company Gamax is a French law company whose main purpose is the holding of shares in companies operating a sales outlet under the Intermarché brand. The company Gamax holds the majority of the shares of the companies Galvo and Tolbog, which each operate a food-dominated store located in Jayat (01), respectively under the Intermarché and Netto brands, under two brand contracts concluded with ITM Entreprises. The company Gamax is [majority] owned by Mr. and Mrs. X. The remaining capital of Gamax is held by the company ITM Entreprises, through a share that does not confer any particular rights. In 2008, the total turnover excluding taxes of Gamax, exclusively generated in France, amounted to 23.4 million euros, with Mr. and Mrs. X holding no other business.</w:t>
      </w:r>
    </w:p>
    <w:p>
      <w:r>
        <w:t>5. The company Fragui is a French law company whose exclusive purpose is the operation of a food-dominated store located in Mâcon (71) under the Intermarché brand. The entirety of the company's capital is held by the company ITM Alimentaire Centre Est, except for one share held by the company ITM Entreprises which does not confer any particular rights. In 2008, the total turnover excluding taxes of Fragui, exclusively generated in France, amounted to 4.4 million euros.</w:t>
      </w:r>
    </w:p>
    <w:p>
      <w:r>
        <w:t>6. At the end of the operation, the shares of the company Fragui will be held [majority] in full ownership and [minority] in usufruct by the company Gamax. The remaining capital of the company Fragui will be held to the extent of [&lt;5%] in bare ownership by ITM Alimentaire Centre Est, with ITM Entreprises retaining one share in full ownership and the associated rights. The statutes of the company Fragui will be modified concurrently with the completion of this operation. These statutes will grant ITM Entreprises, for a period of [&gt;15 years], the possibility to block any change of brand, to oppose any transfer of shares, and to compel the majority shareholders to sell the business as soon as they operate a similar business under a competing brand. Beyond this period, ITM Entreprises will retain a right of first refusal on any sale of shares for an additional five years. Furthermore, the company Fragui will sign, concurrently with the completion of this operation, a brand contract with ITM Entreprises under which the use of the Intermarché brand will be granted for the operation of its business. This brand contract grants ITM Entreprises for a period of [&gt;15 years], a priority right in the event of the sale of the business at a price calculated according to a predetermined formula. After the operation, the company Fragui will therefore be jointly controlled by Gamax and ITM Entreprises, via a preferential share.</w:t>
      </w:r>
    </w:p>
    <w:p>
      <w:r>
        <w:t>7. Insofar as it entails the transition from exclusive control of ITM Alimentaire Centre Est over Fragui to joint control of ITM Entreprises and Gamax, the notified operation constitutes a concentration within the meaning of Article L. 430-1 of the Commercial Code. Given the turnover of the concerned companies, it does not have a community dimension. On the other hand, the retail control thresholds mentioned in point II of Article L. 430-2 of the Commercial Code are exceeded. The present operation is therefore subject to the provisions of Articles L. 430-3 et seq. of the Commercial Code relating to economic concentration.</w:t>
      </w:r>
    </w:p>
    <w:p>
      <w:r>
        <w:t xml:space="preserve">II. Delimitation of Relevant Markets  </w:t>
        <w:br/>
        <w:t>8. According to the consistent practice of national and community competition authorities, two categories of markets can be delineated in the food-dominated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9.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commerce, (iv) small retail commerce, (v) discount stores, (vi) mail order sales.</w:t>
      </w:r>
    </w:p>
    <w:p>
      <w:r>
        <w:t>10. Supermarkets are usually defined as food-dominated stores with a sales area of less than 2,500 m² and more than 400 m². However, it should be noted that these thresholds must be used with caution and may be adapted to the specific case, considering that stores whose area is close to a threshold, whether below or above, may be in direct competition in practice.</w:t>
      </w:r>
    </w:p>
    <w:p>
      <w:r>
        <w:t xml:space="preserve">11. In this case, the acquired store currently occupies a sales area of 1,200 m². This store therefore falls into the category of supermarkets.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4 See in particular the opinion No. 00-A-06 of the Council of May 3, 2000, regarding the acquisition by the company Carrefour of the company Promodès.</w:t>
      </w:r>
    </w:p>
    <w:p>
      <w:r>
        <w:rPr>
          <w:b/>
        </w:rPr>
        <w:t>[Pages 4–5]</w:t>
      </w:r>
    </w:p>
    <w:p>
      <w:r>
        <w:t xml:space="preserve">2. GEOGRAPHICAL DELIMITATION  </w:t>
        <w:br/>
        <w:t xml:space="preserve">12. In its recent decisions related to operations concerning hypermarkets or supermarkets, the Competition Authority has reiterated that two types of markets are usually distinguished, based on catchment areas:  </w:t>
        <w:br/>
        <w:t xml:space="preserve">- a first market where the demand of consumers from an area meets the supply of hypermarkets accessible to them within less than 30 minutes by car and which are, from their perspective, substitutable with each other;  </w:t>
        <w:br/>
        <w:t xml:space="preserve">-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 xml:space="preserve">14. In the specific case, the store concerned by the operation, occupying a sales area of less than 2,500 m² and falling within the category of supermarkets, the competitive analysis will focus only on the second market, that is, on the market including all hypermarkets, supermarkets, and large discount stores located within a 15-minute catchment area around Mâcon.  </w:t>
        <w:br/>
        <w:t xml:space="preserve">B. UPSTREAM SUPPLY MARKETS  </w:t>
        <w:br/>
        <w:t xml:space="preserve">15. Regarding supply markets, the European Commission has recognized the existence of markets of national dimension by major product groups, a delimitation followed by national authorities.  </w:t>
        <w:br/>
        <w:t xml:space="preserve">16. There is no reason to challenge this delimitation in the context of the present operation.  </w:t>
        <w:br/>
        <w:t xml:space="preserve">III. Competitive Analysis  </w:t>
        <w:br/>
        <w:t xml:space="preserve">17. In the downstream market for food distribution, including hypermarkets, supermarkets, and large discount stores within a 15-minute catchment area around Mâcon, the operation will have no impact, as the company Gamax, which will jointly take control of the company Fragui alongside the current shareholder, the company ITM Alimentaire Centre Est, does not operate a sales outlet in this area and where the store will continue to be operated under the Intermarché brand. The market share of stores under brands owned by ITM Entreprises will rise to 21.9%, both before and after the operation. The operation is therefore not likely to harm competition in the market considered.  </w:t>
        <w:br/>
        <w:t xml:space="preserve">18. Regarding upstream supply markets, the operation, which concerns only one store, is not likely to significantly strengthen the purchasing power of the ITM Entreprises group, across all products as well as by major product groups. The strengthening is all the more minor since, prior to the operation, the target company was already sourcing [mainly] through subsidiaries of ITM Entreprises.  </w:t>
        <w:br/>
        <w:t xml:space="preserve">DECIDES  </w:t>
        <w:br/>
        <w:t xml:space="preserve">Single Article: The operation notified under number 10-0021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