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https://www.autoritedelaconcurrence.fr/fr/decision-de-controle-des-concentrations/relative-la-prise-de-controle-conjoint-de-la-societe-france</w:t>
      </w:r>
    </w:p>
    <w:p>
      <w:r>
        <w:t>Pages translated : 2</w:t>
      </w:r>
    </w:p>
    <w:p/>
    <w:p>
      <w:r>
        <w:rPr>
          <w:b/>
        </w:rPr>
        <w:t>[Pages 1–2]</w:t>
      </w:r>
    </w:p>
    <w:p>
      <w:r>
        <w:t xml:space="preserve">FRENCH REPUBLIC  </w:t>
        <w:br/>
        <w:t xml:space="preserve">Decision No. 22-DCC-43 of March 30, 2022  </w:t>
        <w:br/>
        <w:t xml:space="preserve">regarding the joint control acquisition of the company France LNG Shipping SAS by the companies Nippon Yusen Kabushiki Kaisha and Geogas LNG SAS  </w:t>
        <w:br/>
        <w:t xml:space="preserve">The Competition Authority,  </w:t>
        <w:br/>
        <w:t xml:space="preserve">Having regard to the complete notification file submitted to the mergers department on March 15, 2022, concerning the joint control acquisition of the company France LNG Shipping SAS by the companies Nippon Yusen Kabushiki Kaisha and Geogas LNG SAS, formalized by an amendment to the joint venture agreement signed on March 10,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companies Nippon Yusen Kabushiki Kaisha and Geogas LNG SAS of the company France LNG Shipping SAS, which builds, owns, and commercially operates LNG carriers flying the French flag.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22-038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