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https://www.autoritedelaconcurrence.fr/fr/decision-de-controle-des-concentrations/relative-la-prise-de-controle-conjoint-de-la-societe-galeb</w:t>
      </w:r>
    </w:p>
    <w:p>
      <w:r>
        <w:t>Pages translated : 2</w:t>
      </w:r>
    </w:p>
    <w:p/>
    <w:p>
      <w:r>
        <w:rPr>
          <w:b/>
        </w:rPr>
        <w:t>[Pages 1–2]</w:t>
      </w:r>
    </w:p>
    <w:p>
      <w:r>
        <w:t xml:space="preserve">FRENCH REPUBLIC  </w:t>
        <w:br/>
        <w:t xml:space="preserve">Decision No. 25-DCC-309 of December 12, 2025  </w:t>
        <w:br/>
        <w:t xml:space="preserve">regarding the joint control acquisition of the company Galeb by the  </w:t>
        <w:br/>
        <w:t xml:space="preserve">companies Antoal and ITM Entreprises  </w:t>
        <w:br/>
        <w:t>The Competition Authority,</w:t>
      </w:r>
    </w:p>
    <w:p>
      <w:r>
        <w:t xml:space="preserve">Having regard to the complete notification file submitted to the mergers department on  </w:t>
        <w:br/>
        <w:t xml:space="preserve">November 27, 2025, concerning the joint control acquisition of the company Galeb by the companies  </w:t>
        <w:br/>
        <w:t>Antoal and ITM Entreprises formalized by a letter of intent accepted on November 17, 2025;</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acquisition by the company Antoal of almost all  </w:t>
        <w:br/>
        <w:t xml:space="preserve">the shares, with the company ITM Entreprises retaining a preferred share, of the company Galeb.  </w:t>
        <w:br/>
        <w:t xml:space="preserve">The latter has the purpose of operating a retail point of sale predominantly selling food under the Intermarché brand, with a sales area of 3,172 m2, located in the city of Reims (51). This operation constitutes a concentration within the meaning of Article L. 430-1 of the Commercial Code. Given the revenues generated by the companies involved,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25-340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