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https://www.autoritedelaconcurrence.fr/fr/decision-de-controle-des-concentrations/relative-la-prise-de-controle-conjoint-de-la-societe-gekko</w:t>
      </w:r>
    </w:p>
    <w:p>
      <w:r>
        <w:t>Pages translated : 2</w:t>
      </w:r>
    </w:p>
    <w:p/>
    <w:p>
      <w:r>
        <w:rPr>
          <w:b/>
        </w:rPr>
        <w:t>[Pages 1–2]</w:t>
      </w:r>
    </w:p>
    <w:p>
      <w:r>
        <w:t xml:space="preserve">FRENCH REPUBLIC  </w:t>
        <w:br/>
        <w:t xml:space="preserve">Decision No. 15-DCC-171 of December 15, 2015  </w:t>
        <w:br/>
        <w:t xml:space="preserve">regarding the joint control acquisition of the company Gekko by Groupe  </w:t>
        <w:br/>
        <w:t xml:space="preserve">HLD alongside Messrs. Delouis and Laforcade  </w:t>
        <w:br/>
        <w:t xml:space="preserve">The Competition Authority,  </w:t>
        <w:br/>
        <w:t xml:space="preserve">Having regard to the complete notification file submitted to the mergers department on November 9,  </w:t>
        <w:br/>
        <w:t xml:space="preserve">2015, concerning the joint control acquisition of the company Gekko by Groupe HLD alongside  </w:t>
        <w:br/>
        <w:t xml:space="preserve">Messrs. Delouis and Laforcade, formalized by an acquisition and investment protocol dated November 5,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transaction consists of the joint control acquisition of the company Gekko,  </w:t>
        <w:br/>
        <w:t xml:space="preserve">primarily active in the offering of hotel booking platforms between professionals, by the investment fund Groupe HLD alongside Messrs. Delouis and Laforcade. This transaction constitutes a concentration within the meaning of Article L. 430-1 of the Commercial Code. Given the turnover achieved by the companies concerned, the transaction does not fall under the jurisdiction of the European Union. On the other hand, the control thresholds mentioned in point 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15-206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