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https://www.autoritedelaconcurrence.fr/fr/decision-de-controle-des-concentrations/relative-la-prise-de-controle-conjoint-de-la-societe-gemoli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21-DCC-185 of October 15, 2021  </w:t>
        <w:br/>
        <w:t xml:space="preserve">regarding the joint control acquisition of the company Gemoli by the  </w:t>
        <w:br/>
        <w:t xml:space="preserve">companies Pieramax and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27, 2021, concerning the joint control acquisition of the company Gemoli by the companies  </w:t>
        <w:br/>
        <w:t xml:space="preserve">Pieramax and ITM Entreprises, formalized by a letter of intent dated September 13,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Pieramax and  </w:t>
        <w:br/>
        <w:t xml:space="preserve">ITM Entreprises of the company Gemoli, which operates a business fund primarily focused on  </w:t>
        <w:br/>
        <w:t xml:space="preserve">food retail under the brand "Intermarché" with a surface area of 999 m² located  </w:t>
        <w:br/>
        <w:t xml:space="preserve">in Riom-ès-Montagnes (15).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21-224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