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https://www.autoritedelaconcurrence.fr/fr/decision-de-controle-des-concentrations/relative-la-prise-de-controle-conjoint-de-la-societe-gerfa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11-DCC-167 of November 16, 2011  </w:t>
        <w:br/>
        <w:t xml:space="preserve">regarding the joint control acquisition of the company Gerfa by the company  </w:t>
        <w:br/>
        <w:t xml:space="preserve">ITM Entreprises and the Lahille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October 24, 2011, concerning the joint control acquisition of the company Gerfa by the company ITM  </w:t>
        <w:br/>
        <w:t xml:space="preserve">Entreprises and the Lahille group, materialized by draft statutes dated October 14,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Gerfa, operating a  </w:t>
        <w:br/>
        <w:t xml:space="preserve">business predominantly in food distribution, under the brand Intermarché,  </w:t>
        <w:br/>
        <w:t xml:space="preserve">with an area of 1995 m² and located in the city of Valence d’Agen (82), by the company ITM  </w:t>
        <w:br/>
        <w:t xml:space="preserve">Entreprises alongside the Lahille group. It constitutes a concentration operation within  </w:t>
        <w:br/>
        <w:t xml:space="preserve">the meaning of Article L. 430-1 of the Commercial Code. Given the turnover achieved  </w:t>
        <w:br/>
        <w:t xml:space="preserve">by the companies concerned, the operation does not have a community dimension. However, the  </w:t>
        <w:br/>
        <w:t xml:space="preserve">control thresholds related to retail trade mentioned in point II of Article L. 430-2 of  </w:t>
        <w:br/>
        <w:t xml:space="preserve">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11-0195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