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https://www.autoritedelaconcurrence.fr/fr/decision-de-controle-des-concentrations/relative-la-prise-de-controle-conjoint-de-la-societe-gicur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23-DCC-241 of December 12, 2023</w:t>
        <w:br/>
        <w:t>regarding the joint control acquisition of the company Gicur by the</w:t>
        <w:br/>
        <w:t>companies Tivalou and ITM Entreprises</w:t>
        <w:br/>
        <w:t>The Competition Authority,</w:t>
        <w:br/>
        <w:t>Having regard to the complete notification file sent to the mergers department on</w:t>
        <w:br/>
        <w:t>November 24, 2023, concerning the joint control acquisition of the company Gicur by the companies</w:t>
        <w:br/>
        <w:t>Tivalou and ITM Entreprises, formalized by a letter of intent dated November 17,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joint control acquisition by the companies Tivalou and</w:t>
        <w:br/>
        <w:t>ITM Entreprises of the company Gicur, which operates a retail business predominantly in food of the hypermarket type under the Intermarché brand with a surface area of</w:t>
        <w:br/>
        <w:t>3,600 m² located in Saint-Gély-du-Fesc (34). It constitutes a concentration operation within the meaning</w:t>
        <w:br/>
        <w:t>of Article L. 430-1 of the Commercial Code. Given the turnover achieved by the</w:t>
        <w:br/>
        <w:t>concerned companies, the operation does not fall under the jurisdiction of the European Union. However, the thresholds for control related to retail trade mentioned in II of Article</w:t>
        <w:br/>
        <w:t>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23-308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