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https://www.autoritedelaconcurrence.fr/fr/decision-de-controle-des-concentrations/relative-la-prise-de-controle-conjoint-de-la-societe-gl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20-DCC-89 of July 20, 2020  </w:t>
        <w:br/>
        <w:t xml:space="preserve">regarding the joint control acquisition of the company GL Immo Bron by  </w:t>
        <w:br/>
        <w:t xml:space="preserve">the companies Keys Reim and Grands Magasins Galeries Lafayette  </w:t>
        <w:br/>
        <w:t xml:space="preserve">The Competition Authority,  </w:t>
        <w:br/>
        <w:t xml:space="preserve">Having regard to the complete notification file sent to the mergers department on July 8, 2020,  </w:t>
        <w:br/>
        <w:t xml:space="preserve">concerning the joint control acquisition by the companies Keys Reim and Grands Magasins Galeries  </w:t>
        <w:br/>
        <w:t xml:space="preserve">Lafayette of the company GL Immo Bron, formalized by a share agreement protocol dated  </w:t>
        <w:br/>
        <w:t xml:space="preserve">April 30,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Keys Reim and  </w:t>
        <w:br/>
        <w:t xml:space="preserve">Grands Magasins Galeries Lafayette of the company GL Immo Bron, which holds a real estate portfolio located in Bron (69). It constitutes a concentration operation within the meaning of Article L. 430-1 of the Commercial Code. Given the turnover achieved by the companies involved,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20-089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