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https://www.autoritedelaconcurrence.fr/fr/decision-de-controle-des-concentrations/relative-la-prise-de-controle-conjoint-de-la-societe-greece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24-DCC-54 of March 26, 2024  </w:t>
        <w:br/>
        <w:t xml:space="preserve">regarding the joint control acquisition of the company Greece 47 by the  </w:t>
        <w:br/>
        <w:t xml:space="preserve">companies Eclair and ITM Entreprises  </w:t>
        <w:br/>
        <w:t xml:space="preserve">The Competition Authority,  </w:t>
        <w:br/>
        <w:t xml:space="preserve">Having regard to the complete notification file submitted to the mergers department on March 8, 2024,  </w:t>
        <w:br/>
        <w:t xml:space="preserve">concerning the joint control acquisition of the company Greece 47 by the companies Eclair and  </w:t>
        <w:br/>
        <w:t xml:space="preserve">ITM Entreprises, formalized by a letter of intent dated February 6,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Eclair and  </w:t>
        <w:br/>
        <w:t xml:space="preserve">ITM Entreprises of the company Greece 47, which operates a retail outlet predominantly  </w:t>
        <w:br/>
        <w:t xml:space="preserve">food-related of a surface area of 1,085 m², under the Intermarché brand and located  </w:t>
        <w:br/>
        <w:t xml:space="preserve">in Pau (64).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24-053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