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https://www.autoritedelaconcurrence.fr/fr/decision-de-controle-des-concentrations/relative-la-prise-de-controle-conjoint-de-la-societe-guyot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REPUBLIC OF FRANCE</w:t>
        <w:br/>
        <w:t>Decision No. 25-DCC-283 of November 20, 2025</w:t>
        <w:br/>
        <w:t>regarding the joint control acquisition of the company Guyot Energies by</w:t>
        <w:br/>
        <w:t>the company Épopée Gestion and the Guyot group</w:t>
        <w:br/>
        <w:t>The Competition Authority,</w:t>
        <w:br/>
        <w:t>Having regard to the complete notification file submitted to the mergers department on October 27, 2025,</w:t>
        <w:br/>
        <w:t>concerning the joint control acquisition of the company Guyot Energies by the company Épopée Gestion</w:t>
        <w:br/>
        <w:t>and the Guyot group, formalized by an exclusivity letter dated October 7, 2025;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acquisition of joint control of the company Guyot Energies</w:t>
        <w:br/>
        <w:t>by the Guyot group and the company Épopée Gestion, through its funds Épopée Infra</w:t>
        <w:br/>
        <w:t xml:space="preserve">Climat I S.L.P and Épopée Infra Climat Co-invest I. Guyot Energies specializes in energy recovery, </w:t>
        <w:br/>
        <w:t>notably through the production of low-carbon energies from waste and fuels derived from recycling.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25-304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