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https://www.autoritedelaconcurrence.fr/fr/decision-de-controle-des-concentrations/relative-la-prise-de-controle-conjoint-de-la-societe-hbc-31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24-DCC-204 of September 16, 2024</w:t>
        <w:br/>
        <w:t>regarding the joint control acquisition of the company HBC 31 by Mr. and</w:t>
        <w:br/>
        <w:t>Mrs. Lacotte alongside the Association of E. Leclerc Distributor Centers</w:t>
        <w:br/>
        <w:t>The Competition Authority,</w:t>
        <w:br/>
        <w:t>Having regard to the complete notification file sent to the mergers department on August 28, 2024,</w:t>
        <w:br/>
        <w:t>regarding the joint control acquisition of the company HBC 31 by Mr. and Mrs. Lacotte alongside the</w:t>
        <w:br/>
        <w:t>Association of E. Leclerc Distributor Centers, formalized by a transfer protocol signed on July 3,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elements transmitted by the notifying parties during the investigation;</w:t>
        <w:br/>
        <w:t>Adopts the following decision:</w:t>
        <w:br/>
        <w:t>1. The notified operation consists of the acquisition by Mr. and Mrs. Lacotte, alongside the Association</w:t>
        <w:br/>
        <w:t>of E. Leclerc Distributor Centers, of control over a hypermarket under the E. Leclerc brand</w:t>
        <w:br/>
        <w:t>with an area of 14,300 m² and a service station under the same brand, located in Blagnac</w:t>
        <w:br/>
        <w:t>(31). The operation constitutes a concentration within the meaning of Article L. 430-1 of the Commercial</w:t>
        <w:br/>
        <w:t>Code. Given the turnover generated by the concerned companies,</w:t>
        <w:br/>
        <w:t>the operation does not fall under the jurisdiction of the European Union. On the other hand, the control thresholds mentioned in II of Article L. 430-2 of the Commercial Code are exceeded. This</w:t>
        <w:br/>
        <w:t>operation is therefore subject to the provisions of Articles L. 430-3 and following of the Commercial</w:t>
        <w:br/>
        <w:t>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24-210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