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https://www.autoritedelaconcurrence.fr/fr/decision-de-controle-des-concentrations/relative-la-prise-de-controle-conjoint-de-la-societe-hoche</w:t>
      </w:r>
    </w:p>
    <w:p>
      <w:r>
        <w:t>Pages translated : 2</w:t>
      </w:r>
    </w:p>
    <w:p/>
    <w:p>
      <w:r>
        <w:rPr>
          <w:b/>
        </w:rPr>
        <w:t>[Pages 1–2]</w:t>
      </w:r>
    </w:p>
    <w:p>
      <w:r>
        <w:t xml:space="preserve">FRENCH REPUBLIC  </w:t>
        <w:br/>
        <w:t xml:space="preserve">Decision No. 23-DCC-214 of October 25, 2023  </w:t>
        <w:br/>
        <w:t xml:space="preserve">regarding the joint control acquisition of the company Hoche maison de santé by the Caisse des Dépôts et Consignations and the Crédit Mutuel group  </w:t>
        <w:br/>
        <w:t xml:space="preserve">The Competition Authority,  </w:t>
        <w:br/>
        <w:t xml:space="preserve">Having regard to the complete notification file submitted to the mergers department on October 9, 2023, concerning the joint control acquisition of the company Hoche maison de santé by the Caisse des Dépôts et Consignations and the Crédit Mutuel group, formalized by the share transfer agreement of June 8,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control by the Caisse des Dépôts et Consignations and the Crédit Mutuel group of the company Hoche maison de santé, active in the sector of management, ownership, acquisition, management, administration, leasing, operation of all real estate, built or not, or shares of real estate companies. It constitutes a concentration operation within the meaning of Article L. 430-1 of the Commercial Code. Given the turnover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23-240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