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https://www.autoritedelaconcurrence.fr/fr/decision-de-controle-des-concentrations/relative-la-prise-de-controle-conjoint-de-la-societe-hormar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16-DCC-171 of November 8, 2016  </w:t>
        <w:br/>
        <w:t xml:space="preserve">regarding the joint control acquisition of the company Hormar by the  </w:t>
        <w:br/>
        <w:t xml:space="preserve">companies ITM Entreprises and Janseb  </w:t>
        <w:br/>
        <w:t xml:space="preserve">The Competition Authority,  </w:t>
        <w:br/>
        <w:t xml:space="preserve">Having regard to the complete notification file submitted to the mergers department on October 18, 2016,  </w:t>
        <w:br/>
        <w:t xml:space="preserve">concerning the joint control acquisition of the company Hormar by the companies ITM Entreprises and  </w:t>
        <w:br/>
        <w:t xml:space="preserve">Janseb, formalized by a share transfer agreement dated October 14,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Janseb alongside ITM Entreprises  </w:t>
        <w:br/>
        <w:t xml:space="preserve">of the joint control of the company Hormar, which operates a predominantly food retail outlet under the  </w:t>
        <w:br/>
        <w:t xml:space="preserve">Intermarché brand in the city of Gy (70). This operation constitutes a concentration operation within the  </w:t>
        <w:br/>
        <w:t xml:space="preserve">meaning of Article L. 430-1 of the Commercial Code. Given the turnover achieved by the companies  </w:t>
        <w:br/>
        <w:t xml:space="preserve">concerned, the operation does not fall under the jurisdiction of the European Union. On the other hand, the  </w:t>
        <w:br/>
        <w:t xml:space="preserve">retail trade control thresholds mentioned in point II of Article L. 430-2 of the Commercial Code are exceeded.  </w:t>
        <w:br/>
        <w:t xml:space="preserve">This operation is therefore subject to the provisions of Articles L. 430-3 and following of the Commercial  </w:t>
        <w:br/>
        <w:t xml:space="preserve">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16-214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