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https://www.autoritedelaconcurrence.fr/fr/decision-de-controle-des-concentrations/relative-la-prise-de-controle-conjoint-de-la-societe-hoss</w:t>
      </w:r>
    </w:p>
    <w:p>
      <w:r>
        <w:t>Pages translated : 2</w:t>
      </w:r>
    </w:p>
    <w:p/>
    <w:p>
      <w:r>
        <w:rPr>
          <w:b/>
        </w:rPr>
        <w:t>[Pages 1–2]</w:t>
      </w:r>
    </w:p>
    <w:p>
      <w:r>
        <w:t xml:space="preserve">FRENCH REPUBLIC  </w:t>
        <w:br/>
        <w:t xml:space="preserve">Decision No. 11-DCC-149 of October 5, 2011  </w:t>
        <w:br/>
        <w:t xml:space="preserve">regarding the joint control acquisition of the company Hoss by the Vergez consortium and the company ITM Entreprises  </w:t>
        <w:br/>
        <w:t xml:space="preserve">The Competition Authority,  </w:t>
        <w:br/>
        <w:t xml:space="preserve">Having regard to the complete notification file sent to the mergers department on September 13, 2011, concerning the acquisition of the company Hoss by the Vergez consortium and the company ITM Entreprises.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of the company Hoss operating a retail business predominantly in the food sector, under the Intermarché brand, with a surface area of 1,889 m² and located in the city of Fonsorbes (31) by the company ITM Entreprises alongside the Vergez consortium. It constitutes a concentration operation within the meaning of Article L. 430-1 of the Commercial Code. Given the turnover achieved by the companies concerned, the operation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11-0164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