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https://www.autoritedelaconcurrence.fr/fr/decision-de-controle-des-concentrations/relative-la-prise-de-controle-conjoint-de-la-societe-hso-31</w:t>
      </w:r>
    </w:p>
    <w:p>
      <w:r>
        <w:t>Pages translated : 2</w:t>
      </w:r>
    </w:p>
    <w:p/>
    <w:p>
      <w:r>
        <w:rPr>
          <w:b/>
        </w:rPr>
        <w:t>[Pages 1–2]</w:t>
      </w:r>
    </w:p>
    <w:p>
      <w:r>
        <w:t xml:space="preserve">FRENCH REPUBLIC  </w:t>
        <w:br/>
        <w:t xml:space="preserve">Decision No. 24-DCC-200 of September 16, 2024  </w:t>
        <w:br/>
        <w:t>regarding the joint control acquisition of the company HSO 31 by Mr. and Mrs. Castillo alongside the Association of E. Leclerc Distributor Centers</w:t>
      </w:r>
    </w:p>
    <w:p>
      <w:r>
        <w:t>The Competition Authority,</w:t>
      </w:r>
    </w:p>
    <w:p>
      <w:r>
        <w:t>Having regard to the complete notification file submitted to the mergers department on August 28, 2024, concerning the joint control acquisition of the company HSO 31 by Mr. and Mrs. Castillo alongside the Association of E. Leclerc Distributor Centers, formalized by a transfer protocol signed on July 3, 2024;</w:t>
      </w:r>
    </w:p>
    <w:p>
      <w:r>
        <w:t>Having regard to Book IV of the Commercial Code relating to the freedom of prices and competition, and in particular its Articles L. 430-1 to L. 430-7;</w:t>
      </w:r>
    </w:p>
    <w:p>
      <w:r>
        <w:t>Having regard to the elements provided by the notifying parties during the investigation;</w:t>
      </w:r>
    </w:p>
    <w:p>
      <w:r>
        <w:t xml:space="preserve">Adopts the following decision:  </w:t>
        <w:br/>
        <w:t xml:space="preserve">1. The notified operation consists of the acquisition by Mr. and Mrs. Castillo, alongside the Association of E. Leclerc Distributor Centers, of control over a hypermarket under the E. Leclerc brand with an area of 15,600 m² and a service station under the same brand, located in Saint-Orens-de-Gameville (31). The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24-211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