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https://www.autoritedelaconcurrence.fr/fr/decision-de-controle-des-concentrations/relative-la-prise-de-controle-conjoint-de-la-societe-inova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18-DCC-163 of October 16, 2018  </w:t>
        <w:br/>
        <w:t xml:space="preserve">regarding the joint control acquisition of the company Inova Operations  </w:t>
        <w:br/>
        <w:t xml:space="preserve">by the company Paprec France and the Altawest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27, 2018, concerning the joint control acquisition of the company Inova Operations by the  </w:t>
        <w:br/>
        <w:t xml:space="preserve">company Paprec France and the Altawest group, formalized by a share transfer agreement  </w:t>
        <w:br/>
        <w:t xml:space="preserve">signed on June 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Paprec France and the  </w:t>
        <w:br/>
        <w:t xml:space="preserve">Altawest group of the company Inova Operations, which is primarily active in the  </w:t>
        <w:br/>
        <w:t xml:space="preserve">sector of energy recovery unit operations. It constitutes a concentration  </w:t>
        <w:br/>
        <w:t xml:space="preserve">within the meaning of Article L. 430-1 of the Commercial Code. Given the turnover generated  </w:t>
        <w:br/>
        <w:t xml:space="preserve">by the concerned companies,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The markets concerned by the operation are those of waste collection and treatment, which  </w:t>
        <w:br/>
        <w:t xml:space="preserve">are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30%.  </w:t>
        <w:br/>
        <w:t xml:space="preserve">4. Considering the elements of the file and in particular in light of point 384 of the guidelines of  </w:t>
        <w:br/>
        <w:t xml:space="preserve">the Competition Authority regarding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18-149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