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https://www.autoritedelaconcurrence.fr/fr/decision-de-controle-des-concentrations/relative-la-prise-de-controle-conjoint-de-la-societe-isoma</w:t>
      </w:r>
    </w:p>
    <w:p>
      <w:r>
        <w:t>Pages translated : 5</w:t>
      </w:r>
    </w:p>
    <w:p/>
    <w:p>
      <w:r>
        <w:rPr>
          <w:b/>
        </w:rPr>
        <w:t>[Pages 1–3]</w:t>
      </w:r>
    </w:p>
    <w:p>
      <w:r>
        <w:t xml:space="preserve">FRENCH REPUBLIC  </w:t>
        <w:br/>
        <w:t xml:space="preserve">Decision No. 10-DCC-58 of June 15, 2010  </w:t>
        <w:br/>
        <w:t xml:space="preserve">regarding the joint control of the company Isoma SAS  </w:t>
        <w:br/>
        <w:t>by the company ITM Entreprises</w:t>
      </w:r>
    </w:p>
    <w:p>
      <w:r>
        <w:t xml:space="preserve">The Competition Authority,  </w:t>
        <w:br/>
        <w:t xml:space="preserve">Having regard to the notification file submitted in full to the merger service on May 12, 2010,  </w:t>
        <w:br/>
        <w:t xml:space="preserve">regarding the joint control of the company Isoma by the company ITM Entreprises;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ITM Entreprises, 100% controlled by the Société civile des Mousquetaires,  </w:t>
        <w:br/>
        <w:t>itself held by 1,330 natural persons known as "associated members," leads and animates the network of independent merchants known as the "Groupement des Mousquetaires." In its capacity as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w:t>
      </w:r>
    </w:p>
    <w:p>
      <w:r>
        <w:t>2. The ITM Entreprises group achieved a total turnover excluding taxes of [20-30] billion euros during the last fiscal year ending December 31, 2008, of which [15-25] billion euros was in France.</w:t>
      </w:r>
    </w:p>
    <w:p>
      <w:r>
        <w:t>3. The company Isoma is a French law company whose purpose is the operation of a food-dominant retail outlet under the Intermarché brand, located in Le Cendre (63). Prior to its transformation into a simplified joint-stock company, the subject of the present operation, the company Isoma is controlled by Mr. and Mrs. Labreuille who hold [&gt;50]% of the capital, the remainder being held by natural persons. In 2008, the total consolidated turnover of all companies controlled by the Labreuille spouses amounted to [50-60] million euros excluding taxes, achieved exclusively in France.</w:t>
      </w:r>
    </w:p>
    <w:p>
      <w:r>
        <w:t>4. Pursuant to a resolution dated January 19, 2010, the extraordinary general meeting of the company Isoma ratified its transformation from a public limited company into a simplified joint-stock company and adopted new statutes authorizing the entry of ITM Entreprises into the capital of SAS Isoma via a preference share.</w:t>
      </w:r>
    </w:p>
    <w:p>
      <w:r>
        <w:t>5. The new statutes of Isoma, adopted on January 19, 2010, subject to the suspensive condition of the agreement of the Competition Authority, grant ITM Entreprises until May 29, 2018, that is for a period exceeding 7 years, the possibility to block any change of brand, to oppose any transfer of shares, and to compel the majority shareholders to sell the business as soon as they operate a similar business under a competing brand. Furthermore, the brand contract grants ITM Entreprises, until May 29, 2018, a right of first refusal in the event of the sale of the business at a price calculated according to a predetermined formula. At the end of this period, if ITM Entreprises no longer has the ability to block any change of brand or to oppose any transfer of shares, the group retains a right of first refusal on any sale of shares for an additional 5 years. Finally, the statutes provide that with each change of majority partner, the rule of unanimity will again apply for a period of at least 15 years, thus renewing the prerogatives of ITM Entreprises regarding changes of brand, transfer of shares, and the obligation to sell mentioned above.</w:t>
      </w:r>
    </w:p>
    <w:p>
      <w:r>
        <w:t>6. It follows from the above that after the operation, contrary to what the notifying party claims, the company Isoma will be jointly controlled by the Labreuille family and the ITM Entreprises group.</w:t>
      </w:r>
    </w:p>
    <w:p>
      <w:r>
        <w:t>7. Insofar as it results in the joint control of the company Isoma by the ITM Entreprises group, with Mr. and Mrs. Labreuille retaining joint control, the notified operation constitutes a concentration within the meaning of Article L. 430-1 of the Commercial Code.</w:t>
      </w:r>
    </w:p>
    <w:p>
      <w:r>
        <w:t>8. Given the turnover of the companies concerned,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9. According to the constant practice of national and community competition authorities, two categories of markets can be delineated in the food distribution sector.</w:t>
      </w:r>
    </w:p>
    <w:p>
      <w:r>
        <w:t xml:space="preserve">A. DOWNSTREAM MARKETS OF FOOD DISTRIBUTION  </w:t>
        <w:br/>
        <w:t xml:space="preserve">1. SERVICE MARKETS  </w:t>
        <w:br/>
        <w:t>10.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product ranges offered: (i) hypermarkets, (ii) supermarkets, (iii) specialized trade, (iv) small retail trade, (v) maxi-discount stores, (vi) mail order.</w:t>
      </w:r>
    </w:p>
    <w:p>
      <w:r>
        <w:t>11. Hypermarkets are usually defined as food-dominant stores with a sales area equal to or greater than 2,500 m². Supermarkets are usually defined as having a sales area of less than 2,500 m² and greater than 400 m². However, it should be noted that these thresholds should be used with caution and may be adapted to the specific case, considering that stores whose area is near a threshold, either below or above, may be in direct competition in practice.</w:t>
      </w:r>
    </w:p>
    <w:p>
      <w:r>
        <w:t>12. In this case, the store located in Le Cendre (63) has a sales area of 5,494 m². This retail outlet therefore falls into the category of hypermarkets.</w:t>
      </w:r>
    </w:p>
    <w:p>
      <w:r>
        <w:t xml:space="preserve">2. GEOGRAPHICAL DELIMITATION  </w:t>
        <w:br/>
        <w:t xml:space="preserve">13. In its recent decisions regarding operations concerning hypermarkets or supermarkets, the Competition Authority has recalled that two types of markets are usually distinguished, based on catchment areas:  </w:t>
        <w:br/>
        <w:t xml:space="preserve">- a first market where the demand of consumers in an area meets the supply of hypermarkets to which they have access within less than 30 minutes of travel by car and which are, from their point of view, substitutable for each other;  </w:t>
        <w:br/>
        <w:t>- a second market where the demand of consumers meets the supply of supermarkets and equivalent forms of commerce, located within less than 15 minutes of travel time by car. These latter forms of commerce can...</w:t>
      </w:r>
    </w:p>
    <w:p>
      <w:r>
        <w:rPr>
          <w:b/>
        </w:rPr>
        <w:t>[Pages 4–5]</w:t>
      </w:r>
    </w:p>
    <w:p>
      <w:r>
        <w:t xml:space="preserve">include, in addition to supermarkets, hypermarkets located near consumers and discount stores.  </w:t>
        <w:br/>
        <w:t xml:space="preserve">14. Other criteria may nevertheless be considered to assess the impact of a concentration on the competitive situation in retail distribution markets, which may lead to refining, in the specific case, the usual delineations presented above.  </w:t>
        <w:br/>
        <w:t xml:space="preserve">15. In the specific case, aside from the point of sale involved in the operation, the purchaser is not present in the first market. The competitive analysis will therefore focus solely on the second market, including all hypermarkets, supermarkets, and maxi-discount stores located within a 15-minute catchment area around Le Cendre.  </w:t>
        <w:br/>
        <w:t xml:space="preserve">B. UPSTREAM SUPPLY MARKETS  </w:t>
        <w:br/>
        <w:t xml:space="preserve">16. Regarding the supply markets, the European Commission has recognized the existence of markets of national dimension by major product groups, a delineation followed by national authorities.  </w:t>
        <w:br/>
        <w:t xml:space="preserve">17. There is no reason to challenge this delineation in the context of the present operation.  </w:t>
        <w:br/>
        <w:t xml:space="preserve">III. Competitive Analysis  </w:t>
        <w:br/>
        <w:t xml:space="preserve">18. In the downstream market of food distribution, including hypermarkets, supermarkets, and maxi-discount stores within a 15-minute driving area around Le Cendre, the ITM Entreprises group is present through 4 stores: the hypermarket, which is the subject of the operation, and three smaller Ecomarché branded stores. The stores under the ITM Entreprises brand thus account for 9.3% market share in an area where the main distribution groups are present, none of which holds a truly preeminent position. The groups Auchan (25.4%), Leclerc (18.9%), EMC Distribution (16.2%), Provera (15%), and Carrefour (7%) are present through several points of sale. The operation is not likely to harm competition in this market. The upcoming opening of a 2,180 m² Intermarché in the area leaves this conclusion unchanged.  </w:t>
        <w:br/>
        <w:t xml:space="preserve">19. Regarding the upstream supply markets, the operation, which concerns only one store, is not likely to significantly strengthen the purchasing power of the ITM Entreprises group, across all products or by major product groups.  </w:t>
        <w:br/>
        <w:t xml:space="preserve">5 See the Commission decisions M.1684 Carrefour/Promodès of January 25, 2000 and M. 2115 Carrefour/GB of September 28, 2000.  </w:t>
        <w:br/>
        <w:t>6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 xml:space="preserve">DECIDES  </w:t>
        <w:br/>
        <w:t xml:space="preserve">Sole Article: The operation notified under number 10-0065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